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AE4" w:rsidRDefault="00651CC5" w:rsidP="0087083F">
      <w:pPr>
        <w:tabs>
          <w:tab w:val="left" w:pos="1638"/>
        </w:tabs>
        <w:spacing w:after="0" w:line="360" w:lineRule="auto"/>
        <w:ind w:right="1700"/>
        <w:jc w:val="both"/>
        <w:outlineLvl w:val="0"/>
        <w:rPr>
          <w:rFonts w:ascii="Times New Roman" w:eastAsia="Arial Unicode MS" w:hAnsi="Times New Roman" w:cs="Times New Roman"/>
          <w:b/>
          <w:color w:val="000000"/>
          <w:sz w:val="26"/>
          <w:szCs w:val="26"/>
        </w:rPr>
      </w:pPr>
      <w:bookmarkStart w:id="0" w:name="_GoBack"/>
      <w:r>
        <w:rPr>
          <w:rFonts w:ascii="Times New Roman" w:eastAsia="Arial Unicode MS" w:hAnsi="Times New Roman" w:cs="Times New Roman"/>
          <w:b/>
          <w:color w:val="000000"/>
          <w:sz w:val="26"/>
          <w:szCs w:val="26"/>
        </w:rPr>
        <w:t xml:space="preserve">APPUNTI SULLA </w:t>
      </w:r>
      <w:r w:rsidR="0087083F">
        <w:rPr>
          <w:rFonts w:ascii="Times New Roman" w:eastAsia="Arial Unicode MS" w:hAnsi="Times New Roman" w:cs="Times New Roman"/>
          <w:b/>
          <w:color w:val="000000"/>
          <w:sz w:val="26"/>
          <w:szCs w:val="26"/>
        </w:rPr>
        <w:t xml:space="preserve">LEGITTIMAZIONE ATTIVA </w:t>
      </w:r>
      <w:r w:rsidR="00100C24">
        <w:rPr>
          <w:rFonts w:ascii="Times New Roman" w:eastAsia="Arial Unicode MS" w:hAnsi="Times New Roman" w:cs="Times New Roman"/>
          <w:b/>
          <w:color w:val="000000"/>
          <w:sz w:val="26"/>
          <w:szCs w:val="26"/>
        </w:rPr>
        <w:t xml:space="preserve">DELLE ASSOCIAZIONI NELLE AZIONI </w:t>
      </w:r>
      <w:r w:rsidR="00E54738">
        <w:rPr>
          <w:rFonts w:ascii="Times New Roman" w:eastAsia="Arial Unicode MS" w:hAnsi="Times New Roman" w:cs="Times New Roman"/>
          <w:b/>
          <w:color w:val="000000"/>
          <w:sz w:val="26"/>
          <w:szCs w:val="26"/>
        </w:rPr>
        <w:t xml:space="preserve">CONTRO LE </w:t>
      </w:r>
      <w:r w:rsidR="00100C24">
        <w:rPr>
          <w:rFonts w:ascii="Times New Roman" w:eastAsia="Arial Unicode MS" w:hAnsi="Times New Roman" w:cs="Times New Roman"/>
          <w:b/>
          <w:color w:val="000000"/>
          <w:sz w:val="26"/>
          <w:szCs w:val="26"/>
        </w:rPr>
        <w:t xml:space="preserve">DISCRIMINAZIONI </w:t>
      </w:r>
      <w:r>
        <w:rPr>
          <w:rFonts w:ascii="Times New Roman" w:eastAsia="Arial Unicode MS" w:hAnsi="Times New Roman" w:cs="Times New Roman"/>
          <w:b/>
          <w:color w:val="000000"/>
          <w:sz w:val="26"/>
          <w:szCs w:val="26"/>
        </w:rPr>
        <w:t>COLLETTIVE</w:t>
      </w:r>
      <w:r w:rsidR="00B97877">
        <w:rPr>
          <w:rFonts w:ascii="Times New Roman" w:eastAsia="Arial Unicode MS" w:hAnsi="Times New Roman" w:cs="Times New Roman"/>
          <w:b/>
          <w:color w:val="000000"/>
          <w:sz w:val="26"/>
          <w:szCs w:val="26"/>
        </w:rPr>
        <w:t xml:space="preserve"> PER NAZIONALITA’</w:t>
      </w:r>
      <w:r>
        <w:rPr>
          <w:rFonts w:ascii="Times New Roman" w:eastAsia="Arial Unicode MS" w:hAnsi="Times New Roman" w:cs="Times New Roman"/>
          <w:b/>
          <w:color w:val="000000"/>
          <w:sz w:val="26"/>
          <w:szCs w:val="26"/>
        </w:rPr>
        <w:t>.</w:t>
      </w:r>
    </w:p>
    <w:bookmarkEnd w:id="0"/>
    <w:p w:rsidR="0087083F" w:rsidRDefault="0087083F" w:rsidP="0087083F">
      <w:pPr>
        <w:tabs>
          <w:tab w:val="left" w:pos="1638"/>
        </w:tabs>
        <w:spacing w:after="0" w:line="360" w:lineRule="auto"/>
        <w:ind w:right="1700"/>
        <w:jc w:val="both"/>
        <w:outlineLvl w:val="0"/>
        <w:rPr>
          <w:rFonts w:ascii="Times New Roman" w:eastAsia="Arial Unicode MS" w:hAnsi="Times New Roman" w:cs="Times New Roman"/>
          <w:b/>
          <w:color w:val="000000"/>
          <w:sz w:val="26"/>
          <w:szCs w:val="26"/>
        </w:rPr>
      </w:pPr>
      <w:r>
        <w:rPr>
          <w:rFonts w:ascii="Times New Roman" w:eastAsia="Arial Unicode MS" w:hAnsi="Times New Roman" w:cs="Times New Roman"/>
          <w:b/>
          <w:color w:val="000000"/>
          <w:sz w:val="26"/>
          <w:szCs w:val="26"/>
        </w:rPr>
        <w:t xml:space="preserve"> </w:t>
      </w:r>
    </w:p>
    <w:p w:rsidR="00A14AE4" w:rsidRDefault="00100C24"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 xml:space="preserve">E’ sempre più frequente che le parti convenute nelle azioni giudiziarie per discriminazioni </w:t>
      </w:r>
      <w:r w:rsidR="00152572">
        <w:rPr>
          <w:rFonts w:ascii="Times New Roman" w:eastAsia="Times New Roman" w:hAnsi="Times New Roman" w:cs="Times New Roman"/>
          <w:kern w:val="2"/>
          <w:sz w:val="26"/>
          <w:szCs w:val="24"/>
        </w:rPr>
        <w:t xml:space="preserve">collettive </w:t>
      </w:r>
      <w:r w:rsidR="00F428FE">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dello straniero</w:t>
      </w:r>
      <w:r w:rsidR="00F428FE">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 xml:space="preserve"> sollevino questioni in ordine alla legittimazione attiva delle associazioni (prima fra tutte ASGI) iscritte nell’elenco di cui all’art. 5 D</w:t>
      </w:r>
      <w:r w:rsidR="00F428FE">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lgs 215/03</w:t>
      </w:r>
      <w:r w:rsidR="00152572">
        <w:rPr>
          <w:rFonts w:ascii="Times New Roman" w:eastAsia="Times New Roman" w:hAnsi="Times New Roman" w:cs="Times New Roman"/>
          <w:kern w:val="2"/>
          <w:sz w:val="26"/>
          <w:szCs w:val="24"/>
        </w:rPr>
        <w:t xml:space="preserve"> </w:t>
      </w:r>
      <w:r w:rsidR="00CC392F">
        <w:rPr>
          <w:rFonts w:ascii="Times New Roman" w:eastAsia="Times New Roman" w:hAnsi="Times New Roman" w:cs="Times New Roman"/>
          <w:kern w:val="2"/>
          <w:sz w:val="26"/>
          <w:szCs w:val="24"/>
        </w:rPr>
        <w:t>che, ad avviso dei convenuti, sarebbero legittimat</w:t>
      </w:r>
      <w:r w:rsidR="00F428FE">
        <w:rPr>
          <w:rFonts w:ascii="Times New Roman" w:eastAsia="Times New Roman" w:hAnsi="Times New Roman" w:cs="Times New Roman"/>
          <w:kern w:val="2"/>
          <w:sz w:val="26"/>
          <w:szCs w:val="24"/>
        </w:rPr>
        <w:t>e</w:t>
      </w:r>
      <w:r w:rsidR="00CC392F">
        <w:rPr>
          <w:rFonts w:ascii="Times New Roman" w:eastAsia="Times New Roman" w:hAnsi="Times New Roman" w:cs="Times New Roman"/>
          <w:kern w:val="2"/>
          <w:sz w:val="26"/>
          <w:szCs w:val="24"/>
        </w:rPr>
        <w:t xml:space="preserve"> ad agire solo in ipotesi di discriminazione per razza e origine etnica</w:t>
      </w:r>
      <w:r>
        <w:rPr>
          <w:rFonts w:ascii="Times New Roman" w:eastAsia="Times New Roman" w:hAnsi="Times New Roman" w:cs="Times New Roman"/>
          <w:kern w:val="2"/>
          <w:sz w:val="26"/>
          <w:szCs w:val="24"/>
        </w:rPr>
        <w:t>: la questione – come ampiamente noto a tutti coloro che praticano la materia</w:t>
      </w:r>
      <w:r w:rsidR="00F428FE">
        <w:rPr>
          <w:rFonts w:ascii="Times New Roman" w:eastAsia="Times New Roman" w:hAnsi="Times New Roman" w:cs="Times New Roman"/>
          <w:kern w:val="2"/>
          <w:sz w:val="26"/>
          <w:szCs w:val="24"/>
        </w:rPr>
        <w:t xml:space="preserve"> – nasce dalla previsione de</w:t>
      </w:r>
      <w:r>
        <w:rPr>
          <w:rFonts w:ascii="Times New Roman" w:eastAsia="Times New Roman" w:hAnsi="Times New Roman" w:cs="Times New Roman"/>
          <w:kern w:val="2"/>
          <w:sz w:val="26"/>
          <w:szCs w:val="24"/>
        </w:rPr>
        <w:t>ll’art. 3 del decreto stesso che</w:t>
      </w:r>
      <w:r w:rsidR="00B65553">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in applicazione di quanto previsto dalla </w:t>
      </w:r>
      <w:r w:rsidR="00CC392F">
        <w:rPr>
          <w:rFonts w:ascii="Times New Roman" w:eastAsia="Times New Roman" w:hAnsi="Times New Roman" w:cs="Times New Roman"/>
          <w:kern w:val="2"/>
          <w:sz w:val="26"/>
          <w:szCs w:val="24"/>
        </w:rPr>
        <w:t>direttiva 2000/43</w:t>
      </w:r>
      <w:r w:rsidR="00B65553">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esclude dal proprio campo di applicazione </w:t>
      </w:r>
      <w:r w:rsidR="00CC392F">
        <w:rPr>
          <w:rFonts w:ascii="Times New Roman" w:eastAsia="Times New Roman" w:hAnsi="Times New Roman" w:cs="Times New Roman"/>
          <w:kern w:val="2"/>
          <w:sz w:val="26"/>
          <w:szCs w:val="24"/>
        </w:rPr>
        <w:t>le differenze di trattamento basate sulla nazionalità</w:t>
      </w:r>
      <w:r w:rsidR="00CC392F">
        <w:rPr>
          <w:rStyle w:val="Rimandonotaapidipagina"/>
          <w:rFonts w:ascii="Times New Roman" w:eastAsia="Times New Roman" w:hAnsi="Times New Roman" w:cs="Times New Roman"/>
          <w:kern w:val="2"/>
          <w:sz w:val="26"/>
          <w:szCs w:val="24"/>
        </w:rPr>
        <w:footnoteReference w:id="1"/>
      </w:r>
      <w:r w:rsidR="00F428FE">
        <w:rPr>
          <w:rFonts w:ascii="Times New Roman" w:eastAsia="Times New Roman" w:hAnsi="Times New Roman" w:cs="Times New Roman"/>
          <w:kern w:val="2"/>
          <w:sz w:val="26"/>
          <w:szCs w:val="24"/>
        </w:rPr>
        <w:t xml:space="preserve">; </w:t>
      </w:r>
      <w:r w:rsidR="00A14AE4">
        <w:rPr>
          <w:rFonts w:ascii="Times New Roman" w:eastAsia="Times New Roman" w:hAnsi="Times New Roman" w:cs="Times New Roman"/>
          <w:kern w:val="2"/>
          <w:sz w:val="26"/>
          <w:szCs w:val="24"/>
        </w:rPr>
        <w:t>questa esclusione si estenderebbe anche alla norma processuale con l’effetto che le associazioni iscritte nel</w:t>
      </w:r>
      <w:r w:rsidR="00320815">
        <w:rPr>
          <w:rFonts w:ascii="Times New Roman" w:eastAsia="Times New Roman" w:hAnsi="Times New Roman" w:cs="Times New Roman"/>
          <w:kern w:val="2"/>
          <w:sz w:val="26"/>
          <w:szCs w:val="24"/>
        </w:rPr>
        <w:t xml:space="preserve"> predetto </w:t>
      </w:r>
      <w:r w:rsidR="00A14AE4">
        <w:rPr>
          <w:rFonts w:ascii="Times New Roman" w:eastAsia="Times New Roman" w:hAnsi="Times New Roman" w:cs="Times New Roman"/>
          <w:kern w:val="2"/>
          <w:sz w:val="26"/>
          <w:szCs w:val="24"/>
        </w:rPr>
        <w:t>elenco potrebbero insorgere (</w:t>
      </w:r>
      <w:r w:rsidR="00320815">
        <w:rPr>
          <w:rFonts w:ascii="Times New Roman" w:eastAsia="Times New Roman" w:hAnsi="Times New Roman" w:cs="Times New Roman"/>
          <w:kern w:val="2"/>
          <w:sz w:val="26"/>
          <w:szCs w:val="24"/>
        </w:rPr>
        <w:t>per andare sul concreto</w:t>
      </w:r>
      <w:r w:rsidR="00A14AE4">
        <w:rPr>
          <w:rFonts w:ascii="Times New Roman" w:eastAsia="Times New Roman" w:hAnsi="Times New Roman" w:cs="Times New Roman"/>
          <w:kern w:val="2"/>
          <w:sz w:val="26"/>
          <w:szCs w:val="24"/>
        </w:rPr>
        <w:t>) contro un cartello</w:t>
      </w:r>
      <w:r w:rsidR="00320815">
        <w:rPr>
          <w:rFonts w:ascii="Times New Roman" w:eastAsia="Times New Roman" w:hAnsi="Times New Roman" w:cs="Times New Roman"/>
          <w:kern w:val="2"/>
          <w:sz w:val="26"/>
          <w:szCs w:val="24"/>
        </w:rPr>
        <w:t xml:space="preserve"> che rechi</w:t>
      </w:r>
      <w:r w:rsidR="005C4CF9">
        <w:rPr>
          <w:rFonts w:ascii="Times New Roman" w:eastAsia="Times New Roman" w:hAnsi="Times New Roman" w:cs="Times New Roman"/>
          <w:kern w:val="2"/>
          <w:sz w:val="26"/>
          <w:szCs w:val="24"/>
        </w:rPr>
        <w:t xml:space="preserve"> </w:t>
      </w:r>
      <w:r w:rsidR="00A14AE4" w:rsidRPr="00A14AE4">
        <w:rPr>
          <w:rFonts w:ascii="Times New Roman" w:eastAsia="Times New Roman" w:hAnsi="Times New Roman" w:cs="Times New Roman"/>
          <w:i/>
          <w:kern w:val="2"/>
          <w:sz w:val="26"/>
          <w:szCs w:val="24"/>
        </w:rPr>
        <w:t>“qui non si ammettono i neri</w:t>
      </w:r>
      <w:r w:rsidR="00A14AE4">
        <w:rPr>
          <w:rFonts w:ascii="Times New Roman" w:eastAsia="Times New Roman" w:hAnsi="Times New Roman" w:cs="Times New Roman"/>
          <w:kern w:val="2"/>
          <w:sz w:val="26"/>
          <w:szCs w:val="24"/>
        </w:rPr>
        <w:t>”, ma non contro un cartello che rechi “</w:t>
      </w:r>
      <w:r w:rsidR="00A14AE4" w:rsidRPr="00A14AE4">
        <w:rPr>
          <w:rFonts w:ascii="Times New Roman" w:eastAsia="Times New Roman" w:hAnsi="Times New Roman" w:cs="Times New Roman"/>
          <w:i/>
          <w:kern w:val="2"/>
          <w:sz w:val="26"/>
          <w:szCs w:val="24"/>
        </w:rPr>
        <w:t>qui non si ammettono i senegalesi</w:t>
      </w:r>
      <w:r w:rsidR="00CC392F">
        <w:rPr>
          <w:rFonts w:ascii="Times New Roman" w:eastAsia="Times New Roman" w:hAnsi="Times New Roman" w:cs="Times New Roman"/>
          <w:kern w:val="2"/>
          <w:sz w:val="26"/>
          <w:szCs w:val="24"/>
        </w:rPr>
        <w:t>”</w:t>
      </w:r>
      <w:r w:rsidR="00A14AE4">
        <w:rPr>
          <w:rFonts w:ascii="Times New Roman" w:eastAsia="Times New Roman" w:hAnsi="Times New Roman" w:cs="Times New Roman"/>
          <w:kern w:val="2"/>
          <w:sz w:val="26"/>
          <w:szCs w:val="24"/>
        </w:rPr>
        <w:t>.</w:t>
      </w:r>
      <w:r w:rsidR="00CC392F">
        <w:rPr>
          <w:rFonts w:ascii="Times New Roman" w:eastAsia="Times New Roman" w:hAnsi="Times New Roman" w:cs="Times New Roman"/>
          <w:kern w:val="2"/>
          <w:sz w:val="26"/>
          <w:szCs w:val="24"/>
        </w:rPr>
        <w:t xml:space="preserve"> </w:t>
      </w:r>
    </w:p>
    <w:p w:rsidR="00320815" w:rsidRDefault="00A14AE4"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La tesi suscita un</w:t>
      </w:r>
      <w:r w:rsidR="00AC38D5">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immediata sensazione di illogicità e di ingiustizia</w:t>
      </w:r>
      <w:r w:rsidR="00320815">
        <w:rPr>
          <w:rFonts w:ascii="Times New Roman" w:eastAsia="Times New Roman" w:hAnsi="Times New Roman" w:cs="Times New Roman"/>
          <w:kern w:val="2"/>
          <w:sz w:val="26"/>
          <w:szCs w:val="24"/>
        </w:rPr>
        <w:t xml:space="preserve"> (essendo evidente che entrambe le situazioni sono accomunate, nel buon senso comune, sotto l’etichetta di razzismo o discriminazione) </w:t>
      </w:r>
      <w:r>
        <w:rPr>
          <w:rFonts w:ascii="Times New Roman" w:eastAsia="Times New Roman" w:hAnsi="Times New Roman" w:cs="Times New Roman"/>
          <w:kern w:val="2"/>
          <w:sz w:val="26"/>
          <w:szCs w:val="24"/>
        </w:rPr>
        <w:t>tanto che la totalità dei giudici per molti anni</w:t>
      </w:r>
      <w:r w:rsidR="00152572">
        <w:rPr>
          <w:rFonts w:ascii="Times New Roman" w:eastAsia="Times New Roman" w:hAnsi="Times New Roman" w:cs="Times New Roman"/>
          <w:kern w:val="2"/>
          <w:sz w:val="26"/>
          <w:szCs w:val="24"/>
        </w:rPr>
        <w:t xml:space="preserve"> non</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l’ha </w:t>
      </w:r>
      <w:r w:rsidR="00152572">
        <w:rPr>
          <w:rFonts w:ascii="Times New Roman" w:eastAsia="Times New Roman" w:hAnsi="Times New Roman" w:cs="Times New Roman"/>
          <w:kern w:val="2"/>
          <w:sz w:val="26"/>
          <w:szCs w:val="24"/>
        </w:rPr>
        <w:t>neppure presa in considerazione</w:t>
      </w:r>
      <w:r w:rsidR="00B97877">
        <w:rPr>
          <w:rFonts w:ascii="Times New Roman" w:eastAsia="Times New Roman" w:hAnsi="Times New Roman" w:cs="Times New Roman"/>
          <w:kern w:val="2"/>
          <w:sz w:val="26"/>
          <w:szCs w:val="24"/>
        </w:rPr>
        <w:t xml:space="preserve">, nella consapevolezza che una applicazione restrittiva si sarebbe prestata ad </w:t>
      </w:r>
      <w:r w:rsidR="00B97877">
        <w:rPr>
          <w:rFonts w:ascii="Times New Roman" w:eastAsia="Times New Roman" w:hAnsi="Times New Roman" w:cs="Times New Roman"/>
          <w:kern w:val="2"/>
          <w:sz w:val="26"/>
          <w:szCs w:val="24"/>
        </w:rPr>
        <w:lastRenderedPageBreak/>
        <w:t>un us</w:t>
      </w:r>
      <w:r w:rsidR="00B65553">
        <w:rPr>
          <w:rFonts w:ascii="Times New Roman" w:eastAsia="Times New Roman" w:hAnsi="Times New Roman" w:cs="Times New Roman"/>
          <w:kern w:val="2"/>
          <w:sz w:val="26"/>
          <w:szCs w:val="24"/>
        </w:rPr>
        <w:t>o strumentale della nozione di ‘</w:t>
      </w:r>
      <w:r w:rsidR="00B97877">
        <w:rPr>
          <w:rFonts w:ascii="Times New Roman" w:eastAsia="Times New Roman" w:hAnsi="Times New Roman" w:cs="Times New Roman"/>
          <w:kern w:val="2"/>
          <w:sz w:val="26"/>
          <w:szCs w:val="24"/>
        </w:rPr>
        <w:t>straniero</w:t>
      </w:r>
      <w:r w:rsidR="00B65553">
        <w:rPr>
          <w:rFonts w:ascii="Times New Roman" w:eastAsia="Times New Roman" w:hAnsi="Times New Roman" w:cs="Times New Roman"/>
          <w:kern w:val="2"/>
          <w:sz w:val="26"/>
          <w:szCs w:val="24"/>
        </w:rPr>
        <w:t>’</w:t>
      </w:r>
      <w:r w:rsidR="00B97877">
        <w:rPr>
          <w:rFonts w:ascii="Times New Roman" w:eastAsia="Times New Roman" w:hAnsi="Times New Roman" w:cs="Times New Roman"/>
          <w:kern w:val="2"/>
          <w:sz w:val="26"/>
          <w:szCs w:val="24"/>
        </w:rPr>
        <w:t xml:space="preserve"> per discriminare in realtà anche o solo l’appartenete ad altre etnie. </w:t>
      </w:r>
    </w:p>
    <w:p w:rsidR="000D3B8B" w:rsidRDefault="00320815" w:rsidP="00320815">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Il problema m</w:t>
      </w:r>
      <w:r w:rsidR="00A14AE4">
        <w:rPr>
          <w:rFonts w:ascii="Times New Roman" w:eastAsia="Times New Roman" w:hAnsi="Times New Roman" w:cs="Times New Roman"/>
          <w:kern w:val="2"/>
          <w:sz w:val="26"/>
          <w:szCs w:val="24"/>
        </w:rPr>
        <w:t>erita comunque una risposta gi</w:t>
      </w:r>
      <w:r w:rsidR="001144C1">
        <w:rPr>
          <w:rFonts w:ascii="Times New Roman" w:eastAsia="Times New Roman" w:hAnsi="Times New Roman" w:cs="Times New Roman"/>
          <w:kern w:val="2"/>
          <w:sz w:val="26"/>
          <w:szCs w:val="24"/>
        </w:rPr>
        <w:t xml:space="preserve">uridica più approfondita perché </w:t>
      </w:r>
      <w:r w:rsidR="00152572">
        <w:rPr>
          <w:rFonts w:ascii="Times New Roman" w:eastAsia="Times New Roman" w:hAnsi="Times New Roman" w:cs="Times New Roman"/>
          <w:kern w:val="2"/>
          <w:sz w:val="26"/>
          <w:szCs w:val="24"/>
        </w:rPr>
        <w:t xml:space="preserve">il rapporto tra etnia e nazionalità </w:t>
      </w:r>
      <w:r w:rsidR="000D3B8B">
        <w:rPr>
          <w:rFonts w:ascii="Times New Roman" w:eastAsia="Times New Roman" w:hAnsi="Times New Roman" w:cs="Times New Roman"/>
          <w:kern w:val="2"/>
          <w:sz w:val="26"/>
          <w:szCs w:val="24"/>
        </w:rPr>
        <w:t xml:space="preserve">si colloca al cuore del diritto antidiscriminatorio e al </w:t>
      </w:r>
      <w:r w:rsidR="00152572">
        <w:rPr>
          <w:rFonts w:ascii="Times New Roman" w:eastAsia="Times New Roman" w:hAnsi="Times New Roman" w:cs="Times New Roman"/>
          <w:kern w:val="2"/>
          <w:sz w:val="26"/>
          <w:szCs w:val="24"/>
        </w:rPr>
        <w:t xml:space="preserve">crocevia </w:t>
      </w:r>
      <w:r>
        <w:rPr>
          <w:rFonts w:ascii="Times New Roman" w:eastAsia="Times New Roman" w:hAnsi="Times New Roman" w:cs="Times New Roman"/>
          <w:kern w:val="2"/>
          <w:sz w:val="26"/>
          <w:szCs w:val="24"/>
        </w:rPr>
        <w:t xml:space="preserve">tra l’ambizione universalistica delle norme antidiscriminatorie </w:t>
      </w:r>
      <w:r w:rsidR="001144C1">
        <w:rPr>
          <w:rFonts w:ascii="Times New Roman" w:eastAsia="Times New Roman" w:hAnsi="Times New Roman" w:cs="Times New Roman"/>
          <w:kern w:val="2"/>
          <w:sz w:val="26"/>
          <w:szCs w:val="24"/>
        </w:rPr>
        <w:t xml:space="preserve">(che </w:t>
      </w:r>
      <w:r w:rsidR="00152572">
        <w:rPr>
          <w:rFonts w:ascii="Times New Roman" w:eastAsia="Times New Roman" w:hAnsi="Times New Roman" w:cs="Times New Roman"/>
          <w:kern w:val="2"/>
          <w:sz w:val="26"/>
          <w:szCs w:val="24"/>
        </w:rPr>
        <w:t>vorrebbero</w:t>
      </w:r>
      <w:r w:rsidR="005C4CF9">
        <w:rPr>
          <w:rFonts w:ascii="Times New Roman" w:eastAsia="Times New Roman" w:hAnsi="Times New Roman" w:cs="Times New Roman"/>
          <w:kern w:val="2"/>
          <w:sz w:val="26"/>
          <w:szCs w:val="24"/>
        </w:rPr>
        <w:t xml:space="preserve"> </w:t>
      </w:r>
      <w:r w:rsidR="001144C1">
        <w:rPr>
          <w:rFonts w:ascii="Times New Roman" w:eastAsia="Times New Roman" w:hAnsi="Times New Roman" w:cs="Times New Roman"/>
          <w:kern w:val="2"/>
          <w:sz w:val="26"/>
          <w:szCs w:val="24"/>
        </w:rPr>
        <w:t xml:space="preserve">contrastare </w:t>
      </w:r>
      <w:r w:rsidR="00152572">
        <w:rPr>
          <w:rFonts w:ascii="Times New Roman" w:eastAsia="Times New Roman" w:hAnsi="Times New Roman" w:cs="Times New Roman"/>
          <w:kern w:val="2"/>
          <w:sz w:val="26"/>
          <w:szCs w:val="24"/>
        </w:rPr>
        <w:t xml:space="preserve">qualsiasi </w:t>
      </w:r>
      <w:r w:rsidR="001144C1">
        <w:rPr>
          <w:rFonts w:ascii="Times New Roman" w:eastAsia="Times New Roman" w:hAnsi="Times New Roman" w:cs="Times New Roman"/>
          <w:kern w:val="2"/>
          <w:sz w:val="26"/>
          <w:szCs w:val="24"/>
        </w:rPr>
        <w:t>barrier</w:t>
      </w:r>
      <w:r w:rsidR="00152572">
        <w:rPr>
          <w:rFonts w:ascii="Times New Roman" w:eastAsia="Times New Roman" w:hAnsi="Times New Roman" w:cs="Times New Roman"/>
          <w:kern w:val="2"/>
          <w:sz w:val="26"/>
          <w:szCs w:val="24"/>
        </w:rPr>
        <w:t>a</w:t>
      </w:r>
      <w:r w:rsidR="001144C1">
        <w:rPr>
          <w:rFonts w:ascii="Times New Roman" w:eastAsia="Times New Roman" w:hAnsi="Times New Roman" w:cs="Times New Roman"/>
          <w:kern w:val="2"/>
          <w:sz w:val="26"/>
          <w:szCs w:val="24"/>
        </w:rPr>
        <w:t xml:space="preserve"> erett</w:t>
      </w:r>
      <w:r w:rsidR="00152572">
        <w:rPr>
          <w:rFonts w:ascii="Times New Roman" w:eastAsia="Times New Roman" w:hAnsi="Times New Roman" w:cs="Times New Roman"/>
          <w:kern w:val="2"/>
          <w:sz w:val="26"/>
          <w:szCs w:val="24"/>
        </w:rPr>
        <w:t>a</w:t>
      </w:r>
      <w:r w:rsidR="001144C1">
        <w:rPr>
          <w:rFonts w:ascii="Times New Roman" w:eastAsia="Times New Roman" w:hAnsi="Times New Roman" w:cs="Times New Roman"/>
          <w:kern w:val="2"/>
          <w:sz w:val="26"/>
          <w:szCs w:val="24"/>
        </w:rPr>
        <w:t xml:space="preserve"> a divisione del genere umano) </w:t>
      </w:r>
      <w:r>
        <w:rPr>
          <w:rFonts w:ascii="Times New Roman" w:eastAsia="Times New Roman" w:hAnsi="Times New Roman" w:cs="Times New Roman"/>
          <w:kern w:val="2"/>
          <w:sz w:val="26"/>
          <w:szCs w:val="24"/>
        </w:rPr>
        <w:t xml:space="preserve">e la timidezza </w:t>
      </w:r>
      <w:r w:rsidR="001144C1">
        <w:rPr>
          <w:rFonts w:ascii="Times New Roman" w:eastAsia="Times New Roman" w:hAnsi="Times New Roman" w:cs="Times New Roman"/>
          <w:kern w:val="2"/>
          <w:sz w:val="26"/>
          <w:szCs w:val="24"/>
        </w:rPr>
        <w:t xml:space="preserve">delle stesse norme </w:t>
      </w:r>
      <w:r>
        <w:rPr>
          <w:rFonts w:ascii="Times New Roman" w:eastAsia="Times New Roman" w:hAnsi="Times New Roman" w:cs="Times New Roman"/>
          <w:kern w:val="2"/>
          <w:sz w:val="26"/>
          <w:szCs w:val="24"/>
        </w:rPr>
        <w:t>nel contrastare le frontiere</w:t>
      </w:r>
      <w:r w:rsidR="001144C1">
        <w:rPr>
          <w:rFonts w:ascii="Times New Roman" w:eastAsia="Times New Roman" w:hAnsi="Times New Roman" w:cs="Times New Roman"/>
          <w:kern w:val="2"/>
          <w:sz w:val="26"/>
          <w:szCs w:val="24"/>
        </w:rPr>
        <w:t xml:space="preserve"> </w:t>
      </w:r>
      <w:r w:rsidR="000D3B8B">
        <w:rPr>
          <w:rFonts w:ascii="Times New Roman" w:eastAsia="Times New Roman" w:hAnsi="Times New Roman" w:cs="Times New Roman"/>
          <w:kern w:val="2"/>
          <w:sz w:val="26"/>
          <w:szCs w:val="24"/>
        </w:rPr>
        <w:t xml:space="preserve">nazionali </w:t>
      </w:r>
      <w:r w:rsidR="001144C1">
        <w:rPr>
          <w:rFonts w:ascii="Times New Roman" w:eastAsia="Times New Roman" w:hAnsi="Times New Roman" w:cs="Times New Roman"/>
          <w:kern w:val="2"/>
          <w:sz w:val="26"/>
          <w:szCs w:val="24"/>
        </w:rPr>
        <w:t>e invadere il campo della disciplina dell’immigrazione</w:t>
      </w:r>
      <w:r>
        <w:rPr>
          <w:rFonts w:ascii="Times New Roman" w:eastAsia="Times New Roman" w:hAnsi="Times New Roman" w:cs="Times New Roman"/>
          <w:kern w:val="2"/>
          <w:sz w:val="26"/>
          <w:szCs w:val="24"/>
        </w:rPr>
        <w:t xml:space="preserve">: una contraddizione che emerge </w:t>
      </w:r>
      <w:r w:rsidR="001144C1">
        <w:rPr>
          <w:rFonts w:ascii="Times New Roman" w:eastAsia="Times New Roman" w:hAnsi="Times New Roman" w:cs="Times New Roman"/>
          <w:kern w:val="2"/>
          <w:sz w:val="26"/>
          <w:szCs w:val="24"/>
        </w:rPr>
        <w:t xml:space="preserve">persino </w:t>
      </w:r>
      <w:r>
        <w:rPr>
          <w:rFonts w:ascii="Times New Roman" w:eastAsia="Times New Roman" w:hAnsi="Times New Roman" w:cs="Times New Roman"/>
          <w:kern w:val="2"/>
          <w:sz w:val="26"/>
          <w:szCs w:val="24"/>
        </w:rPr>
        <w:t xml:space="preserve">già </w:t>
      </w:r>
      <w:r w:rsidR="001144C1">
        <w:rPr>
          <w:rFonts w:ascii="Times New Roman" w:eastAsia="Times New Roman" w:hAnsi="Times New Roman" w:cs="Times New Roman"/>
          <w:kern w:val="2"/>
          <w:sz w:val="26"/>
          <w:szCs w:val="24"/>
        </w:rPr>
        <w:t>nella risalente</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dichiarazione </w:t>
      </w:r>
      <w:r w:rsidR="001144C1">
        <w:rPr>
          <w:rFonts w:ascii="Times New Roman" w:eastAsia="Times New Roman" w:hAnsi="Times New Roman" w:cs="Times New Roman"/>
          <w:kern w:val="2"/>
          <w:sz w:val="26"/>
          <w:szCs w:val="24"/>
        </w:rPr>
        <w:t>ONU</w:t>
      </w:r>
      <w:r>
        <w:rPr>
          <w:rFonts w:ascii="Times New Roman" w:eastAsia="Times New Roman" w:hAnsi="Times New Roman" w:cs="Times New Roman"/>
          <w:kern w:val="2"/>
          <w:sz w:val="26"/>
          <w:szCs w:val="24"/>
        </w:rPr>
        <w:t xml:space="preserve"> </w:t>
      </w:r>
      <w:r w:rsidR="001144C1">
        <w:rPr>
          <w:rFonts w:ascii="Times New Roman" w:eastAsia="Times New Roman" w:hAnsi="Times New Roman" w:cs="Times New Roman"/>
          <w:kern w:val="2"/>
          <w:sz w:val="26"/>
          <w:szCs w:val="24"/>
        </w:rPr>
        <w:t>per l’eliminazione di ogni forma di discriminazione razziale</w:t>
      </w:r>
      <w:r w:rsidR="000D3B8B">
        <w:rPr>
          <w:rFonts w:ascii="Times New Roman" w:eastAsia="Times New Roman" w:hAnsi="Times New Roman" w:cs="Times New Roman"/>
          <w:kern w:val="2"/>
          <w:sz w:val="26"/>
          <w:szCs w:val="24"/>
        </w:rPr>
        <w:t xml:space="preserve"> (21.12.65)</w:t>
      </w:r>
      <w:r w:rsidR="00AC38D5">
        <w:rPr>
          <w:rFonts w:ascii="Times New Roman" w:eastAsia="Times New Roman" w:hAnsi="Times New Roman" w:cs="Times New Roman"/>
          <w:kern w:val="2"/>
          <w:sz w:val="26"/>
          <w:szCs w:val="24"/>
        </w:rPr>
        <w:t>,</w:t>
      </w:r>
      <w:r w:rsidR="005C4CF9">
        <w:rPr>
          <w:rFonts w:ascii="Times New Roman" w:eastAsia="Times New Roman" w:hAnsi="Times New Roman" w:cs="Times New Roman"/>
          <w:kern w:val="2"/>
          <w:sz w:val="26"/>
          <w:szCs w:val="24"/>
        </w:rPr>
        <w:t xml:space="preserve"> </w:t>
      </w:r>
      <w:r w:rsidR="001144C1">
        <w:rPr>
          <w:rFonts w:ascii="Times New Roman" w:eastAsia="Times New Roman" w:hAnsi="Times New Roman" w:cs="Times New Roman"/>
          <w:kern w:val="2"/>
          <w:sz w:val="26"/>
          <w:szCs w:val="24"/>
        </w:rPr>
        <w:t xml:space="preserve">laddove il solenne divieto di ogni forma di </w:t>
      </w:r>
      <w:r>
        <w:rPr>
          <w:rFonts w:ascii="Times New Roman" w:eastAsia="Times New Roman" w:hAnsi="Times New Roman" w:cs="Times New Roman"/>
          <w:kern w:val="2"/>
          <w:sz w:val="26"/>
          <w:szCs w:val="24"/>
        </w:rPr>
        <w:t xml:space="preserve">discriminazione </w:t>
      </w:r>
      <w:r w:rsidR="001144C1">
        <w:rPr>
          <w:rFonts w:ascii="Times New Roman" w:eastAsia="Times New Roman" w:hAnsi="Times New Roman" w:cs="Times New Roman"/>
          <w:kern w:val="2"/>
          <w:sz w:val="26"/>
          <w:szCs w:val="24"/>
        </w:rPr>
        <w:t xml:space="preserve">razziale </w:t>
      </w:r>
      <w:r>
        <w:rPr>
          <w:rFonts w:ascii="Times New Roman" w:eastAsia="Times New Roman" w:hAnsi="Times New Roman" w:cs="Times New Roman"/>
          <w:kern w:val="2"/>
          <w:sz w:val="26"/>
          <w:szCs w:val="24"/>
        </w:rPr>
        <w:t xml:space="preserve">si accompagna </w:t>
      </w:r>
      <w:r w:rsidR="000D3B8B">
        <w:rPr>
          <w:rFonts w:ascii="Times New Roman" w:eastAsia="Times New Roman" w:hAnsi="Times New Roman" w:cs="Times New Roman"/>
          <w:kern w:val="2"/>
          <w:sz w:val="26"/>
          <w:szCs w:val="24"/>
        </w:rPr>
        <w:t xml:space="preserve">già al comma </w:t>
      </w:r>
      <w:r w:rsidR="005C4CF9">
        <w:rPr>
          <w:rFonts w:ascii="Times New Roman" w:eastAsia="Times New Roman" w:hAnsi="Times New Roman" w:cs="Times New Roman"/>
          <w:kern w:val="2"/>
          <w:sz w:val="26"/>
          <w:szCs w:val="24"/>
        </w:rPr>
        <w:t>due</w:t>
      </w:r>
      <w:r w:rsidR="000D3B8B">
        <w:rPr>
          <w:rFonts w:ascii="Times New Roman" w:eastAsia="Times New Roman" w:hAnsi="Times New Roman" w:cs="Times New Roman"/>
          <w:kern w:val="2"/>
          <w:sz w:val="26"/>
          <w:szCs w:val="24"/>
        </w:rPr>
        <w:t xml:space="preserve"> dell’art. 1 a una dichiarazione di “non-ingerenza” nelle differenze tra cittadini e non cittadini.</w:t>
      </w:r>
    </w:p>
    <w:p w:rsidR="00320815" w:rsidRDefault="001144C1" w:rsidP="00320815">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 xml:space="preserve">Preliminarmente </w:t>
      </w:r>
      <w:r w:rsidR="000D3B8B">
        <w:rPr>
          <w:rFonts w:ascii="Times New Roman" w:eastAsia="Times New Roman" w:hAnsi="Times New Roman" w:cs="Times New Roman"/>
          <w:kern w:val="2"/>
          <w:sz w:val="26"/>
          <w:szCs w:val="24"/>
        </w:rPr>
        <w:t xml:space="preserve">però </w:t>
      </w:r>
      <w:r>
        <w:rPr>
          <w:rFonts w:ascii="Times New Roman" w:eastAsia="Times New Roman" w:hAnsi="Times New Roman" w:cs="Times New Roman"/>
          <w:kern w:val="2"/>
          <w:sz w:val="26"/>
          <w:szCs w:val="24"/>
        </w:rPr>
        <w:t xml:space="preserve">occorre che i detrattori della </w:t>
      </w:r>
      <w:r w:rsidR="000D3B8B">
        <w:rPr>
          <w:rFonts w:ascii="Times New Roman" w:eastAsia="Times New Roman" w:hAnsi="Times New Roman" w:cs="Times New Roman"/>
          <w:kern w:val="2"/>
          <w:sz w:val="26"/>
          <w:szCs w:val="24"/>
        </w:rPr>
        <w:t xml:space="preserve">legittimazione </w:t>
      </w:r>
      <w:r>
        <w:rPr>
          <w:rFonts w:ascii="Times New Roman" w:eastAsia="Times New Roman" w:hAnsi="Times New Roman" w:cs="Times New Roman"/>
          <w:kern w:val="2"/>
          <w:sz w:val="26"/>
          <w:szCs w:val="24"/>
        </w:rPr>
        <w:t xml:space="preserve">prendano atto di una circostanza </w:t>
      </w:r>
      <w:r w:rsidR="000D3B8B">
        <w:rPr>
          <w:rFonts w:ascii="Times New Roman" w:eastAsia="Times New Roman" w:hAnsi="Times New Roman" w:cs="Times New Roman"/>
          <w:kern w:val="2"/>
          <w:sz w:val="26"/>
          <w:szCs w:val="24"/>
        </w:rPr>
        <w:t>di grande rilievo</w:t>
      </w:r>
      <w:r>
        <w:rPr>
          <w:rFonts w:ascii="Times New Roman" w:eastAsia="Times New Roman" w:hAnsi="Times New Roman" w:cs="Times New Roman"/>
          <w:kern w:val="2"/>
          <w:sz w:val="26"/>
          <w:szCs w:val="24"/>
        </w:rPr>
        <w:t xml:space="preserve">: </w:t>
      </w:r>
      <w:r w:rsidR="00320815">
        <w:rPr>
          <w:rFonts w:ascii="Times New Roman" w:eastAsia="Times New Roman" w:hAnsi="Times New Roman" w:cs="Times New Roman"/>
          <w:kern w:val="2"/>
          <w:sz w:val="26"/>
          <w:szCs w:val="24"/>
        </w:rPr>
        <w:t xml:space="preserve">una causa promossa da ASGI e APN </w:t>
      </w:r>
      <w:r>
        <w:rPr>
          <w:rFonts w:ascii="Times New Roman" w:eastAsia="Times New Roman" w:hAnsi="Times New Roman" w:cs="Times New Roman"/>
          <w:kern w:val="2"/>
          <w:sz w:val="26"/>
          <w:szCs w:val="24"/>
        </w:rPr>
        <w:t xml:space="preserve">(in quanto associazioni iscritte nel citato elenco) e avente ad oggetto una </w:t>
      </w:r>
      <w:r w:rsidR="00320815">
        <w:rPr>
          <w:rFonts w:ascii="Times New Roman" w:eastAsia="Times New Roman" w:hAnsi="Times New Roman" w:cs="Times New Roman"/>
          <w:kern w:val="2"/>
          <w:sz w:val="26"/>
          <w:szCs w:val="24"/>
        </w:rPr>
        <w:t>discriminazione per nazionalità (l’esclusione degli stranieri dal bando per il servizio civile) è giunta all’esame delle</w:t>
      </w:r>
      <w:r w:rsidR="00AC38D5">
        <w:rPr>
          <w:rFonts w:ascii="Times New Roman" w:eastAsia="Times New Roman" w:hAnsi="Times New Roman" w:cs="Times New Roman"/>
          <w:kern w:val="2"/>
          <w:sz w:val="26"/>
          <w:szCs w:val="24"/>
        </w:rPr>
        <w:t xml:space="preserve"> Sezioni Unite della Cassazione</w:t>
      </w:r>
      <w:r w:rsidR="00320815">
        <w:rPr>
          <w:rFonts w:ascii="Times New Roman" w:eastAsia="Times New Roman" w:hAnsi="Times New Roman" w:cs="Times New Roman"/>
          <w:kern w:val="2"/>
          <w:sz w:val="26"/>
          <w:szCs w:val="24"/>
        </w:rPr>
        <w:t xml:space="preserve">, le quali, con </w:t>
      </w:r>
      <w:r w:rsidR="00320815">
        <w:rPr>
          <w:rFonts w:ascii="Times New Roman" w:eastAsia="Times New Roman" w:hAnsi="Times New Roman" w:cs="Times New Roman"/>
          <w:b/>
          <w:kern w:val="2"/>
          <w:sz w:val="26"/>
          <w:szCs w:val="24"/>
        </w:rPr>
        <w:t>ordinanza 20661/14</w:t>
      </w:r>
      <w:r w:rsidR="005C4CF9">
        <w:rPr>
          <w:rFonts w:ascii="Times New Roman" w:eastAsia="Times New Roman" w:hAnsi="Times New Roman" w:cs="Times New Roman"/>
          <w:b/>
          <w:kern w:val="2"/>
          <w:sz w:val="26"/>
          <w:szCs w:val="24"/>
        </w:rPr>
        <w:t xml:space="preserve"> </w:t>
      </w:r>
      <w:r w:rsidR="00320815">
        <w:rPr>
          <w:rFonts w:ascii="Times New Roman" w:eastAsia="Times New Roman" w:hAnsi="Times New Roman" w:cs="Times New Roman"/>
          <w:kern w:val="2"/>
          <w:sz w:val="26"/>
          <w:szCs w:val="24"/>
        </w:rPr>
        <w:t xml:space="preserve">hanno sollevato </w:t>
      </w:r>
      <w:r w:rsidR="000D3B8B">
        <w:rPr>
          <w:rFonts w:ascii="Times New Roman" w:eastAsia="Times New Roman" w:hAnsi="Times New Roman" w:cs="Times New Roman"/>
          <w:kern w:val="2"/>
          <w:sz w:val="26"/>
          <w:szCs w:val="24"/>
        </w:rPr>
        <w:t xml:space="preserve">una </w:t>
      </w:r>
      <w:r w:rsidR="00320815">
        <w:rPr>
          <w:rFonts w:ascii="Times New Roman" w:eastAsia="Times New Roman" w:hAnsi="Times New Roman" w:cs="Times New Roman"/>
          <w:kern w:val="2"/>
          <w:sz w:val="26"/>
          <w:szCs w:val="24"/>
        </w:rPr>
        <w:t>questione di Costituzionalità</w:t>
      </w:r>
      <w:r w:rsidR="000D3B8B">
        <w:rPr>
          <w:rFonts w:ascii="Times New Roman" w:eastAsia="Times New Roman" w:hAnsi="Times New Roman" w:cs="Times New Roman"/>
          <w:kern w:val="2"/>
          <w:sz w:val="26"/>
          <w:szCs w:val="24"/>
        </w:rPr>
        <w:t xml:space="preserve"> circa le legittimità di tale esclusione</w:t>
      </w:r>
      <w:r w:rsidR="00320815">
        <w:rPr>
          <w:rFonts w:ascii="Times New Roman" w:eastAsia="Times New Roman" w:hAnsi="Times New Roman" w:cs="Times New Roman"/>
          <w:kern w:val="2"/>
          <w:sz w:val="26"/>
          <w:szCs w:val="24"/>
        </w:rPr>
        <w:t xml:space="preserve">, </w:t>
      </w:r>
      <w:r w:rsidR="00320815">
        <w:rPr>
          <w:rFonts w:ascii="Times New Roman" w:eastAsia="Times New Roman" w:hAnsi="Times New Roman" w:cs="Times New Roman"/>
          <w:b/>
          <w:kern w:val="2"/>
          <w:sz w:val="26"/>
          <w:szCs w:val="24"/>
        </w:rPr>
        <w:t xml:space="preserve">senza rilevare alcun </w:t>
      </w:r>
      <w:r w:rsidR="00D42E60">
        <w:rPr>
          <w:rFonts w:ascii="Times New Roman" w:eastAsia="Times New Roman" w:hAnsi="Times New Roman" w:cs="Times New Roman"/>
          <w:b/>
          <w:kern w:val="2"/>
          <w:sz w:val="26"/>
          <w:szCs w:val="24"/>
        </w:rPr>
        <w:t xml:space="preserve">difetto </w:t>
      </w:r>
      <w:r w:rsidR="00320815">
        <w:rPr>
          <w:rFonts w:ascii="Times New Roman" w:eastAsia="Times New Roman" w:hAnsi="Times New Roman" w:cs="Times New Roman"/>
          <w:b/>
          <w:kern w:val="2"/>
          <w:sz w:val="26"/>
          <w:szCs w:val="24"/>
        </w:rPr>
        <w:t>di legittimazione attiva</w:t>
      </w:r>
      <w:r w:rsidR="005C4CF9">
        <w:rPr>
          <w:rFonts w:ascii="Times New Roman" w:eastAsia="Times New Roman" w:hAnsi="Times New Roman" w:cs="Times New Roman"/>
          <w:b/>
          <w:kern w:val="2"/>
          <w:sz w:val="26"/>
          <w:szCs w:val="24"/>
        </w:rPr>
        <w:t xml:space="preserve"> </w:t>
      </w:r>
      <w:r w:rsidR="00320815">
        <w:rPr>
          <w:rFonts w:ascii="Times New Roman" w:eastAsia="Times New Roman" w:hAnsi="Times New Roman" w:cs="Times New Roman"/>
          <w:b/>
          <w:kern w:val="2"/>
          <w:sz w:val="26"/>
          <w:szCs w:val="24"/>
        </w:rPr>
        <w:t>di dette associazioni</w:t>
      </w:r>
      <w:r>
        <w:rPr>
          <w:rFonts w:ascii="Times New Roman" w:eastAsia="Times New Roman" w:hAnsi="Times New Roman" w:cs="Times New Roman"/>
          <w:b/>
          <w:kern w:val="2"/>
          <w:sz w:val="26"/>
          <w:szCs w:val="24"/>
        </w:rPr>
        <w:t xml:space="preserve">, </w:t>
      </w:r>
      <w:r w:rsidR="00320815">
        <w:rPr>
          <w:rFonts w:ascii="Times New Roman" w:eastAsia="Times New Roman" w:hAnsi="Times New Roman" w:cs="Times New Roman"/>
          <w:kern w:val="2"/>
          <w:sz w:val="26"/>
          <w:szCs w:val="24"/>
        </w:rPr>
        <w:t xml:space="preserve">che </w:t>
      </w:r>
      <w:r w:rsidR="00D42E60">
        <w:rPr>
          <w:rFonts w:ascii="Times New Roman" w:eastAsia="Times New Roman" w:hAnsi="Times New Roman" w:cs="Times New Roman"/>
          <w:kern w:val="2"/>
          <w:sz w:val="26"/>
          <w:szCs w:val="24"/>
        </w:rPr>
        <w:t>invece s</w:t>
      </w:r>
      <w:r w:rsidR="00320815">
        <w:rPr>
          <w:rFonts w:ascii="Times New Roman" w:eastAsia="Times New Roman" w:hAnsi="Times New Roman" w:cs="Times New Roman"/>
          <w:kern w:val="2"/>
          <w:sz w:val="26"/>
          <w:szCs w:val="24"/>
        </w:rPr>
        <w:t>arebbe stato evidentemente preclusivo di qualsivoglia rimessione e che, bench</w:t>
      </w:r>
      <w:r w:rsidR="00AC38D5">
        <w:rPr>
          <w:rFonts w:ascii="Times New Roman" w:eastAsia="Times New Roman" w:hAnsi="Times New Roman" w:cs="Times New Roman"/>
          <w:kern w:val="2"/>
          <w:sz w:val="26"/>
          <w:szCs w:val="24"/>
        </w:rPr>
        <w:t>é</w:t>
      </w:r>
      <w:r w:rsidR="00320815">
        <w:rPr>
          <w:rFonts w:ascii="Times New Roman" w:eastAsia="Times New Roman" w:hAnsi="Times New Roman" w:cs="Times New Roman"/>
          <w:kern w:val="2"/>
          <w:sz w:val="26"/>
          <w:szCs w:val="24"/>
        </w:rPr>
        <w:t xml:space="preserve"> non oggetto di eccezione, ben avrebbe potuto essere rilevato d’ufficio.</w:t>
      </w:r>
    </w:p>
    <w:p w:rsidR="00320815" w:rsidRDefault="00D42E60"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Si tratta</w:t>
      </w:r>
      <w:r w:rsidR="00AC38D5">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di un autorevolissimo avallo alla </w:t>
      </w:r>
      <w:r w:rsidR="00320815">
        <w:rPr>
          <w:rFonts w:ascii="Times New Roman" w:eastAsia="Times New Roman" w:hAnsi="Times New Roman" w:cs="Times New Roman"/>
          <w:kern w:val="2"/>
          <w:sz w:val="26"/>
          <w:szCs w:val="24"/>
        </w:rPr>
        <w:t>giurisprudenza di merito che in precedenza aveva affrontato la questione</w:t>
      </w:r>
      <w:r w:rsidR="008A5E79">
        <w:rPr>
          <w:rFonts w:ascii="Times New Roman" w:eastAsia="Times New Roman" w:hAnsi="Times New Roman" w:cs="Times New Roman"/>
          <w:kern w:val="2"/>
          <w:sz w:val="24"/>
          <w:szCs w:val="24"/>
          <w:vertAlign w:val="superscript"/>
          <w:lang w:val="en-US"/>
        </w:rPr>
        <w:footnoteReference w:id="2"/>
      </w:r>
      <w:r>
        <w:rPr>
          <w:rFonts w:ascii="Times New Roman" w:eastAsia="Times New Roman" w:hAnsi="Times New Roman" w:cs="Times New Roman"/>
          <w:kern w:val="2"/>
          <w:sz w:val="26"/>
          <w:szCs w:val="24"/>
        </w:rPr>
        <w:t xml:space="preserve"> </w:t>
      </w:r>
      <w:r w:rsidR="00AC38D5">
        <w:rPr>
          <w:rFonts w:ascii="Times New Roman" w:eastAsia="Times New Roman" w:hAnsi="Times New Roman" w:cs="Times New Roman"/>
          <w:kern w:val="2"/>
          <w:sz w:val="26"/>
          <w:szCs w:val="24"/>
        </w:rPr>
        <w:t xml:space="preserve">e, dunque, </w:t>
      </w:r>
      <w:r w:rsidR="008A5E79">
        <w:rPr>
          <w:rFonts w:ascii="Times New Roman" w:eastAsia="Times New Roman" w:hAnsi="Times New Roman" w:cs="Times New Roman"/>
          <w:kern w:val="2"/>
          <w:sz w:val="26"/>
          <w:szCs w:val="24"/>
        </w:rPr>
        <w:t xml:space="preserve">il discorso potrebbe </w:t>
      </w:r>
      <w:r w:rsidR="008A5E79">
        <w:rPr>
          <w:rFonts w:ascii="Times New Roman" w:eastAsia="Times New Roman" w:hAnsi="Times New Roman" w:cs="Times New Roman"/>
          <w:kern w:val="2"/>
          <w:sz w:val="26"/>
          <w:szCs w:val="24"/>
        </w:rPr>
        <w:lastRenderedPageBreak/>
        <w:t>chiudersi qui.</w:t>
      </w:r>
    </w:p>
    <w:p w:rsidR="008A5E79" w:rsidRDefault="008A5E79"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Ma vediamo</w:t>
      </w:r>
      <w:r w:rsidR="00AC38D5">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 xml:space="preserve"> </w:t>
      </w:r>
      <w:r w:rsidR="00D42E60">
        <w:rPr>
          <w:rFonts w:ascii="Times New Roman" w:eastAsia="Times New Roman" w:hAnsi="Times New Roman" w:cs="Times New Roman"/>
          <w:kern w:val="2"/>
          <w:sz w:val="26"/>
          <w:szCs w:val="24"/>
        </w:rPr>
        <w:t>comunque</w:t>
      </w:r>
      <w:r w:rsidR="00AC38D5">
        <w:rPr>
          <w:rFonts w:ascii="Times New Roman" w:eastAsia="Times New Roman" w:hAnsi="Times New Roman" w:cs="Times New Roman"/>
          <w:kern w:val="2"/>
          <w:sz w:val="26"/>
          <w:szCs w:val="24"/>
        </w:rPr>
        <w:t>,</w:t>
      </w:r>
      <w:r w:rsidR="00D42E60">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più in dettaglio quali sono gli argomenti che possono essere portati a sostegno della tesi favorevole alla legittimazione.</w:t>
      </w:r>
    </w:p>
    <w:p w:rsidR="0087083F" w:rsidRDefault="00AC38D5" w:rsidP="0087083F">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sidRPr="00AC38D5">
        <w:rPr>
          <w:rFonts w:ascii="Times New Roman" w:eastAsia="Times New Roman" w:hAnsi="Times New Roman" w:cs="Times New Roman"/>
          <w:b/>
          <w:kern w:val="2"/>
          <w:sz w:val="26"/>
          <w:szCs w:val="24"/>
        </w:rPr>
        <w:t>a.</w:t>
      </w:r>
      <w:r>
        <w:rPr>
          <w:rFonts w:ascii="Times New Roman" w:eastAsia="Times New Roman" w:hAnsi="Times New Roman" w:cs="Times New Roman"/>
          <w:kern w:val="2"/>
          <w:sz w:val="26"/>
          <w:szCs w:val="24"/>
        </w:rPr>
        <w:t xml:space="preserve"> </w:t>
      </w:r>
      <w:r w:rsidR="0087083F">
        <w:rPr>
          <w:rFonts w:ascii="Times New Roman" w:eastAsia="Times New Roman" w:hAnsi="Times New Roman" w:cs="Times New Roman"/>
          <w:kern w:val="2"/>
          <w:sz w:val="26"/>
          <w:szCs w:val="24"/>
        </w:rPr>
        <w:t xml:space="preserve">Innanzi tutto, anche se anche si volesse escludere una diretta applicabilità del </w:t>
      </w:r>
      <w:proofErr w:type="spellStart"/>
      <w:r w:rsidR="0087083F">
        <w:rPr>
          <w:rFonts w:ascii="Times New Roman" w:eastAsia="Times New Roman" w:hAnsi="Times New Roman" w:cs="Times New Roman"/>
          <w:kern w:val="2"/>
          <w:sz w:val="26"/>
          <w:szCs w:val="24"/>
        </w:rPr>
        <w:t>D.lgs</w:t>
      </w:r>
      <w:proofErr w:type="spellEnd"/>
      <w:r w:rsidR="0087083F">
        <w:rPr>
          <w:rFonts w:ascii="Times New Roman" w:eastAsia="Times New Roman" w:hAnsi="Times New Roman" w:cs="Times New Roman"/>
          <w:kern w:val="2"/>
          <w:sz w:val="26"/>
          <w:szCs w:val="24"/>
        </w:rPr>
        <w:t xml:space="preserve"> 215/03 alla discriminazione </w:t>
      </w:r>
      <w:r>
        <w:rPr>
          <w:rFonts w:ascii="Times New Roman" w:eastAsia="Times New Roman" w:hAnsi="Times New Roman" w:cs="Times New Roman"/>
          <w:kern w:val="2"/>
          <w:sz w:val="26"/>
          <w:szCs w:val="24"/>
        </w:rPr>
        <w:t>‘</w:t>
      </w:r>
      <w:r w:rsidR="0087083F">
        <w:rPr>
          <w:rFonts w:ascii="Times New Roman" w:eastAsia="Times New Roman" w:hAnsi="Times New Roman" w:cs="Times New Roman"/>
          <w:kern w:val="2"/>
          <w:sz w:val="26"/>
          <w:szCs w:val="24"/>
        </w:rPr>
        <w:t>dello straniero</w:t>
      </w:r>
      <w:r>
        <w:rPr>
          <w:rFonts w:ascii="Times New Roman" w:eastAsia="Times New Roman" w:hAnsi="Times New Roman" w:cs="Times New Roman"/>
          <w:kern w:val="2"/>
          <w:sz w:val="26"/>
          <w:szCs w:val="24"/>
        </w:rPr>
        <w:t>’</w:t>
      </w:r>
      <w:r w:rsidR="0087083F">
        <w:rPr>
          <w:rFonts w:ascii="Times New Roman" w:eastAsia="Times New Roman" w:hAnsi="Times New Roman" w:cs="Times New Roman"/>
          <w:kern w:val="2"/>
          <w:sz w:val="26"/>
          <w:szCs w:val="24"/>
        </w:rPr>
        <w:t xml:space="preserve">, occorrerebbe convenire che, quantomeno nel contesto italiano, </w:t>
      </w:r>
      <w:r w:rsidR="00891538">
        <w:rPr>
          <w:rFonts w:ascii="Times New Roman" w:eastAsia="Times New Roman" w:hAnsi="Times New Roman" w:cs="Times New Roman"/>
          <w:b/>
          <w:kern w:val="2"/>
          <w:sz w:val="26"/>
          <w:szCs w:val="24"/>
        </w:rPr>
        <w:t>il criterio ‘</w:t>
      </w:r>
      <w:r w:rsidR="0087083F">
        <w:rPr>
          <w:rFonts w:ascii="Times New Roman" w:eastAsia="Times New Roman" w:hAnsi="Times New Roman" w:cs="Times New Roman"/>
          <w:b/>
          <w:kern w:val="2"/>
          <w:sz w:val="26"/>
          <w:szCs w:val="24"/>
        </w:rPr>
        <w:t>nazionalità</w:t>
      </w:r>
      <w:r w:rsidR="00891538">
        <w:rPr>
          <w:rFonts w:ascii="Times New Roman" w:eastAsia="Times New Roman" w:hAnsi="Times New Roman" w:cs="Times New Roman"/>
          <w:b/>
          <w:kern w:val="2"/>
          <w:sz w:val="26"/>
          <w:szCs w:val="24"/>
        </w:rPr>
        <w:t>’, sebbene ‘</w:t>
      </w:r>
      <w:r w:rsidR="0087083F">
        <w:rPr>
          <w:rFonts w:ascii="Times New Roman" w:eastAsia="Times New Roman" w:hAnsi="Times New Roman" w:cs="Times New Roman"/>
          <w:b/>
          <w:kern w:val="2"/>
          <w:sz w:val="26"/>
          <w:szCs w:val="24"/>
        </w:rPr>
        <w:t>apparentemente neutro</w:t>
      </w:r>
      <w:r w:rsidR="00891538">
        <w:rPr>
          <w:rFonts w:ascii="Times New Roman" w:eastAsia="Times New Roman" w:hAnsi="Times New Roman" w:cs="Times New Roman"/>
          <w:b/>
          <w:kern w:val="2"/>
          <w:sz w:val="26"/>
          <w:szCs w:val="24"/>
        </w:rPr>
        <w:t>’</w:t>
      </w:r>
      <w:r w:rsidR="0087083F">
        <w:rPr>
          <w:rFonts w:ascii="Times New Roman" w:eastAsia="Times New Roman" w:hAnsi="Times New Roman" w:cs="Times New Roman"/>
          <w:b/>
          <w:kern w:val="2"/>
          <w:sz w:val="26"/>
          <w:szCs w:val="24"/>
        </w:rPr>
        <w:t xml:space="preserve"> rispetto a quelli considerati dalla direttiva 2000/43, determina una discriminazione indiretta</w:t>
      </w:r>
      <w:r w:rsidR="0087083F">
        <w:rPr>
          <w:rFonts w:ascii="Times New Roman" w:eastAsia="Times New Roman" w:hAnsi="Times New Roman" w:cs="Times New Roman"/>
          <w:kern w:val="2"/>
          <w:sz w:val="26"/>
          <w:szCs w:val="24"/>
        </w:rPr>
        <w:t xml:space="preserve"> in quanto svantaggia in maniera proporzionalmente maggiore gli appartenenti a gruppi etnici diversi da quello europeo, </w:t>
      </w:r>
      <w:r w:rsidR="008A5E79">
        <w:rPr>
          <w:rFonts w:ascii="Times New Roman" w:eastAsia="Times New Roman" w:hAnsi="Times New Roman" w:cs="Times New Roman"/>
          <w:kern w:val="2"/>
          <w:sz w:val="26"/>
          <w:szCs w:val="24"/>
        </w:rPr>
        <w:t xml:space="preserve">posto che tali </w:t>
      </w:r>
      <w:r w:rsidR="0087083F">
        <w:rPr>
          <w:rFonts w:ascii="Times New Roman" w:eastAsia="Times New Roman" w:hAnsi="Times New Roman" w:cs="Times New Roman"/>
          <w:kern w:val="2"/>
          <w:sz w:val="26"/>
          <w:szCs w:val="24"/>
        </w:rPr>
        <w:t>gruppi rappresentano la grande maggioranza degli stranieri presenti in Italia</w:t>
      </w:r>
      <w:r w:rsidR="0087083F">
        <w:rPr>
          <w:rFonts w:ascii="Times New Roman" w:eastAsia="Times New Roman" w:hAnsi="Times New Roman" w:cs="Times New Roman"/>
          <w:kern w:val="2"/>
          <w:sz w:val="24"/>
          <w:szCs w:val="24"/>
          <w:vertAlign w:val="superscript"/>
          <w:lang w:val="en-US"/>
        </w:rPr>
        <w:footnoteReference w:id="3"/>
      </w:r>
      <w:r w:rsidR="0087083F">
        <w:rPr>
          <w:rFonts w:ascii="Times New Roman" w:eastAsia="Times New Roman" w:hAnsi="Times New Roman" w:cs="Times New Roman"/>
          <w:kern w:val="2"/>
          <w:sz w:val="26"/>
          <w:szCs w:val="24"/>
        </w:rPr>
        <w:t xml:space="preserve">. Ad esempio i dati del recente rapporto IDOS (elaborazione </w:t>
      </w:r>
      <w:r w:rsidR="00B65553">
        <w:rPr>
          <w:rFonts w:ascii="Times New Roman" w:eastAsia="Times New Roman" w:hAnsi="Times New Roman" w:cs="Times New Roman"/>
          <w:kern w:val="2"/>
          <w:sz w:val="26"/>
          <w:szCs w:val="24"/>
        </w:rPr>
        <w:t>d</w:t>
      </w:r>
      <w:r w:rsidR="0087083F">
        <w:rPr>
          <w:rFonts w:ascii="Times New Roman" w:eastAsia="Times New Roman" w:hAnsi="Times New Roman" w:cs="Times New Roman"/>
          <w:kern w:val="2"/>
          <w:sz w:val="26"/>
          <w:szCs w:val="24"/>
        </w:rPr>
        <w:t>i dati Istat) confermano che dei 3.874.00,00 stranieri titolari di permesso di soggiorno</w:t>
      </w:r>
      <w:r w:rsidR="00D42E60">
        <w:rPr>
          <w:rFonts w:ascii="Times New Roman" w:eastAsia="Times New Roman" w:hAnsi="Times New Roman" w:cs="Times New Roman"/>
          <w:kern w:val="2"/>
          <w:sz w:val="26"/>
          <w:szCs w:val="24"/>
        </w:rPr>
        <w:t xml:space="preserve"> al 1.1.2014,</w:t>
      </w:r>
      <w:r w:rsidR="005C4CF9">
        <w:rPr>
          <w:rFonts w:ascii="Times New Roman" w:eastAsia="Times New Roman" w:hAnsi="Times New Roman" w:cs="Times New Roman"/>
          <w:kern w:val="2"/>
          <w:sz w:val="26"/>
          <w:szCs w:val="24"/>
        </w:rPr>
        <w:t xml:space="preserve"> </w:t>
      </w:r>
      <w:r w:rsidR="0087083F">
        <w:rPr>
          <w:rFonts w:ascii="Times New Roman" w:eastAsia="Times New Roman" w:hAnsi="Times New Roman" w:cs="Times New Roman"/>
          <w:b/>
          <w:kern w:val="2"/>
          <w:sz w:val="26"/>
          <w:szCs w:val="24"/>
        </w:rPr>
        <w:t>il 30,8% proviene dall’Africa, il 27,7% proviene dall’Asia e il 30,5% dall’Europa centro orientale</w:t>
      </w:r>
      <w:r w:rsidR="0087083F">
        <w:rPr>
          <w:rFonts w:ascii="Times New Roman" w:eastAsia="Times New Roman" w:hAnsi="Times New Roman" w:cs="Times New Roman"/>
          <w:kern w:val="2"/>
          <w:sz w:val="26"/>
          <w:szCs w:val="24"/>
        </w:rPr>
        <w:t xml:space="preserve"> (e, dunque, anche in quest’ultimo caso, da paesi dove la maggioranza della popolazione appartiene a gruppi</w:t>
      </w:r>
      <w:r w:rsidR="00AA3631">
        <w:rPr>
          <w:rFonts w:ascii="Times New Roman" w:eastAsia="Times New Roman" w:hAnsi="Times New Roman" w:cs="Times New Roman"/>
          <w:kern w:val="2"/>
          <w:sz w:val="26"/>
          <w:szCs w:val="24"/>
        </w:rPr>
        <w:t xml:space="preserve"> etnici tradizionalmente diversi</w:t>
      </w:r>
      <w:r w:rsidR="0087083F">
        <w:rPr>
          <w:rFonts w:ascii="Times New Roman" w:eastAsia="Times New Roman" w:hAnsi="Times New Roman" w:cs="Times New Roman"/>
          <w:kern w:val="2"/>
          <w:sz w:val="26"/>
          <w:szCs w:val="24"/>
        </w:rPr>
        <w:t xml:space="preserve"> da quello prevalente in Italia: Turchia, Albania, Repubblica  Moldova, Ucraina, Russia ecc.). </w:t>
      </w:r>
    </w:p>
    <w:p w:rsidR="0087083F" w:rsidRDefault="0087083F" w:rsidP="0087083F">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b/>
          <w:kern w:val="2"/>
          <w:sz w:val="24"/>
          <w:szCs w:val="24"/>
        </w:rPr>
      </w:pPr>
      <w:r>
        <w:rPr>
          <w:rFonts w:ascii="Times New Roman" w:eastAsia="Times New Roman" w:hAnsi="Times New Roman" w:cs="Times New Roman"/>
          <w:kern w:val="2"/>
          <w:sz w:val="26"/>
          <w:szCs w:val="24"/>
        </w:rPr>
        <w:t xml:space="preserve">Tali dati appaiono ancor più rilevanti ove si consideri non solo che </w:t>
      </w:r>
      <w:r>
        <w:rPr>
          <w:rFonts w:ascii="Times New Roman" w:eastAsia="Times New Roman" w:hAnsi="Times New Roman" w:cs="Times New Roman"/>
          <w:kern w:val="2"/>
          <w:sz w:val="26"/>
          <w:szCs w:val="24"/>
        </w:rPr>
        <w:lastRenderedPageBreak/>
        <w:t>l’espressione “razza” non ha alcun collegamento con elementi oggettivi</w:t>
      </w:r>
      <w:r>
        <w:rPr>
          <w:rFonts w:ascii="Times New Roman" w:eastAsia="Times New Roman" w:hAnsi="Times New Roman" w:cs="Times New Roman"/>
          <w:kern w:val="2"/>
          <w:sz w:val="24"/>
          <w:szCs w:val="24"/>
          <w:vertAlign w:val="superscript"/>
          <w:lang w:val="en-US"/>
        </w:rPr>
        <w:footnoteReference w:id="4"/>
      </w:r>
      <w:r>
        <w:rPr>
          <w:rFonts w:ascii="Times New Roman" w:eastAsia="Times New Roman" w:hAnsi="Times New Roman" w:cs="Times New Roman"/>
          <w:kern w:val="2"/>
          <w:sz w:val="26"/>
          <w:szCs w:val="24"/>
        </w:rPr>
        <w:t xml:space="preserve">, ma che anche la nozione di “etnia” deve essere considerata nell’accezione ampia considerata dalla giurisprudenza della Corte Europea dei Diritti dell’Uomo e, dunque, non in senso meramente antropologico ma con riferimento a un insieme di elementi di cultura, linguaggio, costumi; e sotto tale profilo è ancora più agevole concludere che </w:t>
      </w:r>
      <w:r>
        <w:rPr>
          <w:rFonts w:ascii="Times New Roman" w:eastAsia="Times New Roman" w:hAnsi="Times New Roman" w:cs="Times New Roman"/>
          <w:b/>
          <w:kern w:val="2"/>
          <w:sz w:val="26"/>
          <w:szCs w:val="24"/>
        </w:rPr>
        <w:t>la stragrande maggioranza degli stranieri presenti in Italia appartiene appunto a “etnie” diverse da quella italiana</w:t>
      </w:r>
      <w:r w:rsidR="00AA3631">
        <w:rPr>
          <w:rFonts w:ascii="Times New Roman" w:eastAsia="Times New Roman" w:hAnsi="Times New Roman" w:cs="Times New Roman"/>
          <w:b/>
          <w:kern w:val="2"/>
          <w:sz w:val="26"/>
          <w:szCs w:val="24"/>
        </w:rPr>
        <w:t>.</w:t>
      </w:r>
      <w:r w:rsidR="00FF2AB8">
        <w:rPr>
          <w:rStyle w:val="Rimandonotaapidipagina"/>
          <w:rFonts w:ascii="Times New Roman" w:eastAsia="Times New Roman" w:hAnsi="Times New Roman" w:cs="Times New Roman"/>
          <w:b/>
          <w:kern w:val="2"/>
          <w:sz w:val="26"/>
          <w:szCs w:val="24"/>
        </w:rPr>
        <w:footnoteReference w:id="5"/>
      </w:r>
    </w:p>
    <w:p w:rsidR="0087083F" w:rsidRDefault="0087083F" w:rsidP="0087083F">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b/>
          <w:i/>
          <w:kern w:val="2"/>
          <w:sz w:val="24"/>
          <w:szCs w:val="24"/>
        </w:rPr>
      </w:pPr>
      <w:r>
        <w:rPr>
          <w:rFonts w:ascii="Times New Roman" w:eastAsia="Times New Roman" w:hAnsi="Times New Roman" w:cs="Times New Roman"/>
          <w:kern w:val="2"/>
          <w:sz w:val="26"/>
          <w:szCs w:val="24"/>
        </w:rPr>
        <w:t>L’argomentazione è peraltro pienamente accolta dalla Commissione europea che, nel recente rapporto sulla applicazione della direttiva 2000/43</w:t>
      </w:r>
      <w:r>
        <w:rPr>
          <w:rFonts w:ascii="Times New Roman" w:eastAsia="Times New Roman" w:hAnsi="Times New Roman" w:cs="Times New Roman"/>
          <w:i/>
          <w:kern w:val="2"/>
          <w:sz w:val="26"/>
          <w:szCs w:val="24"/>
        </w:rPr>
        <w:t xml:space="preserve"> </w:t>
      </w:r>
      <w:r>
        <w:rPr>
          <w:rFonts w:ascii="Times New Roman" w:eastAsia="Times New Roman" w:hAnsi="Times New Roman" w:cs="Times New Roman"/>
          <w:kern w:val="2"/>
          <w:sz w:val="26"/>
          <w:szCs w:val="24"/>
        </w:rPr>
        <w:t>(</w:t>
      </w:r>
      <w:r>
        <w:rPr>
          <w:rFonts w:ascii="Times New Roman" w:eastAsia="Times New Roman" w:hAnsi="Times New Roman" w:cs="Times New Roman"/>
          <w:i/>
          <w:kern w:val="2"/>
          <w:sz w:val="26"/>
          <w:szCs w:val="24"/>
        </w:rPr>
        <w:t>Joint Report on the application of Council Directive 2000/43/EC and 2000/78/EC</w:t>
      </w:r>
      <w:r w:rsidR="000B4B07">
        <w:rPr>
          <w:rFonts w:ascii="Times New Roman" w:eastAsia="Times New Roman" w:hAnsi="Times New Roman" w:cs="Times New Roman"/>
          <w:kern w:val="2"/>
          <w:sz w:val="26"/>
          <w:szCs w:val="24"/>
        </w:rPr>
        <w:t>, Brussels, 17.01.2014,</w:t>
      </w:r>
      <w:r w:rsidR="000B4B07">
        <w:rPr>
          <w:rStyle w:val="Rimandonotaapidipagina"/>
          <w:rFonts w:ascii="Times New Roman" w:eastAsia="Times New Roman" w:hAnsi="Times New Roman" w:cs="Times New Roman"/>
          <w:kern w:val="2"/>
          <w:sz w:val="26"/>
          <w:szCs w:val="24"/>
        </w:rPr>
        <w:footnoteReference w:id="6"/>
      </w:r>
      <w:r>
        <w:rPr>
          <w:rFonts w:ascii="Times New Roman" w:eastAsia="Times New Roman" w:hAnsi="Times New Roman" w:cs="Times New Roman"/>
          <w:kern w:val="2"/>
          <w:sz w:val="26"/>
          <w:szCs w:val="24"/>
        </w:rPr>
        <w:t xml:space="preserve">), pur affermando che detta direttiva non trova applicazione alle discriminazioni per nazionalità, ha precisato che </w:t>
      </w:r>
      <w:r>
        <w:rPr>
          <w:rFonts w:ascii="Times New Roman" w:eastAsia="Times New Roman" w:hAnsi="Times New Roman" w:cs="Times New Roman"/>
          <w:b/>
          <w:i/>
          <w:kern w:val="2"/>
          <w:sz w:val="26"/>
          <w:szCs w:val="24"/>
        </w:rPr>
        <w:t>“differenze in base alla nazionalità o al linguaggio si traducono in indirette discriminazioni sulla base della origine etnica” (cfr. punto 5.1. doc.13).</w:t>
      </w:r>
    </w:p>
    <w:p w:rsidR="0087083F" w:rsidRDefault="0087083F" w:rsidP="0087083F">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Ancora, nello stesso senso si è pronunciato il “</w:t>
      </w:r>
      <w:r>
        <w:rPr>
          <w:rFonts w:ascii="Times New Roman" w:eastAsia="Times New Roman" w:hAnsi="Times New Roman" w:cs="Times New Roman"/>
          <w:i/>
          <w:kern w:val="2"/>
          <w:sz w:val="26"/>
          <w:szCs w:val="24"/>
        </w:rPr>
        <w:t>Comitato ONU per l’eliminazione di ogni forma di discriminazione etnico-razziale”</w:t>
      </w:r>
      <w:r>
        <w:rPr>
          <w:rFonts w:ascii="Times New Roman" w:eastAsia="Times New Roman" w:hAnsi="Times New Roman" w:cs="Times New Roman"/>
          <w:kern w:val="2"/>
          <w:sz w:val="26"/>
          <w:szCs w:val="24"/>
        </w:rPr>
        <w:t xml:space="preserve"> – istituzione preposta dal diritto internazionale pattizio alla </w:t>
      </w:r>
      <w:r>
        <w:rPr>
          <w:rFonts w:ascii="Times New Roman" w:eastAsia="Times New Roman" w:hAnsi="Times New Roman" w:cs="Times New Roman"/>
          <w:b/>
          <w:kern w:val="2"/>
          <w:sz w:val="26"/>
          <w:szCs w:val="24"/>
        </w:rPr>
        <w:t xml:space="preserve">tutela contro le discriminazioni </w:t>
      </w:r>
      <w:r>
        <w:rPr>
          <w:rFonts w:ascii="Times New Roman" w:eastAsia="Times New Roman" w:hAnsi="Times New Roman" w:cs="Times New Roman"/>
          <w:b/>
          <w:kern w:val="2"/>
          <w:sz w:val="26"/>
          <w:szCs w:val="24"/>
          <w:u w:val="single"/>
        </w:rPr>
        <w:t>razziali</w:t>
      </w:r>
      <w:r>
        <w:rPr>
          <w:rFonts w:ascii="Times New Roman" w:eastAsia="Times New Roman" w:hAnsi="Times New Roman" w:cs="Times New Roman"/>
          <w:b/>
          <w:kern w:val="2"/>
          <w:sz w:val="26"/>
          <w:szCs w:val="24"/>
        </w:rPr>
        <w:t>,</w:t>
      </w:r>
      <w:r>
        <w:rPr>
          <w:rFonts w:ascii="Times New Roman" w:eastAsia="Times New Roman" w:hAnsi="Times New Roman" w:cs="Times New Roman"/>
          <w:kern w:val="2"/>
          <w:sz w:val="26"/>
          <w:szCs w:val="24"/>
        </w:rPr>
        <w:t xml:space="preserve"> che ha segnalato come la discriminazione per cittadinanza costituisca in concreto una forma di discriminazione razziale</w:t>
      </w:r>
      <w:r>
        <w:rPr>
          <w:rFonts w:ascii="Times New Roman" w:eastAsia="Times New Roman" w:hAnsi="Times New Roman" w:cs="Times New Roman"/>
          <w:b/>
          <w:kern w:val="2"/>
          <w:sz w:val="26"/>
          <w:szCs w:val="24"/>
        </w:rPr>
        <w:t xml:space="preserve">. </w:t>
      </w:r>
      <w:r>
        <w:rPr>
          <w:rFonts w:ascii="Times New Roman" w:eastAsia="Times New Roman" w:hAnsi="Times New Roman" w:cs="Times New Roman"/>
          <w:kern w:val="2"/>
          <w:sz w:val="26"/>
          <w:szCs w:val="24"/>
        </w:rPr>
        <w:t xml:space="preserve">Nella raccomandazione n. 30 del 1.10.04 il Comitato </w:t>
      </w:r>
      <w:r w:rsidR="00B325CF">
        <w:rPr>
          <w:rFonts w:ascii="Times New Roman" w:eastAsia="Times New Roman" w:hAnsi="Times New Roman" w:cs="Times New Roman"/>
          <w:kern w:val="2"/>
          <w:sz w:val="26"/>
          <w:szCs w:val="24"/>
        </w:rPr>
        <w:t xml:space="preserve">– pur riferendosi alla tutela dei diritti fondamentali - </w:t>
      </w:r>
      <w:r>
        <w:rPr>
          <w:rFonts w:ascii="Times New Roman" w:eastAsia="Times New Roman" w:hAnsi="Times New Roman" w:cs="Times New Roman"/>
          <w:kern w:val="2"/>
          <w:sz w:val="26"/>
          <w:szCs w:val="24"/>
        </w:rPr>
        <w:t xml:space="preserve">ha </w:t>
      </w:r>
      <w:r w:rsidR="00B325CF">
        <w:rPr>
          <w:rFonts w:ascii="Times New Roman" w:eastAsia="Times New Roman" w:hAnsi="Times New Roman" w:cs="Times New Roman"/>
          <w:kern w:val="2"/>
          <w:sz w:val="26"/>
          <w:szCs w:val="24"/>
        </w:rPr>
        <w:t xml:space="preserve">comunque </w:t>
      </w:r>
      <w:r>
        <w:rPr>
          <w:rFonts w:ascii="Times New Roman" w:eastAsia="Times New Roman" w:hAnsi="Times New Roman" w:cs="Times New Roman"/>
          <w:kern w:val="2"/>
          <w:sz w:val="26"/>
          <w:szCs w:val="24"/>
        </w:rPr>
        <w:t xml:space="preserve">affermato che gli Stati aderenti alla Convenzione ONU del 1965 </w:t>
      </w:r>
      <w:r>
        <w:rPr>
          <w:rFonts w:ascii="Times New Roman" w:eastAsia="Times New Roman" w:hAnsi="Times New Roman" w:cs="Times New Roman"/>
          <w:i/>
          <w:kern w:val="2"/>
          <w:sz w:val="26"/>
          <w:szCs w:val="24"/>
        </w:rPr>
        <w:t xml:space="preserve">“hanno l’obbligo di garantire la parità tra </w:t>
      </w:r>
      <w:r>
        <w:rPr>
          <w:rFonts w:ascii="Times New Roman" w:eastAsia="Times New Roman" w:hAnsi="Times New Roman" w:cs="Times New Roman"/>
          <w:i/>
          <w:kern w:val="2"/>
          <w:sz w:val="26"/>
          <w:szCs w:val="24"/>
        </w:rPr>
        <w:lastRenderedPageBreak/>
        <w:t>cittadini e non cittadini nel godimento dei diritti umani nei termini riconosciuti dal diritto internazionale</w:t>
      </w:r>
      <w:r>
        <w:rPr>
          <w:rFonts w:ascii="Times New Roman" w:eastAsia="Times New Roman" w:hAnsi="Times New Roman" w:cs="Times New Roman"/>
          <w:kern w:val="2"/>
          <w:sz w:val="26"/>
          <w:szCs w:val="24"/>
        </w:rPr>
        <w:t>”.</w:t>
      </w:r>
    </w:p>
    <w:p w:rsidR="000B4B07" w:rsidRDefault="000B4B07" w:rsidP="0087083F">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kern w:val="2"/>
          <w:sz w:val="24"/>
          <w:szCs w:val="24"/>
        </w:rPr>
      </w:pPr>
    </w:p>
    <w:p w:rsidR="000B4B07" w:rsidRDefault="0087083F" w:rsidP="000B4B07">
      <w:pPr>
        <w:widowControl w:val="0"/>
        <w:tabs>
          <w:tab w:val="left" w:pos="426"/>
        </w:tabs>
        <w:autoSpaceDE w:val="0"/>
        <w:autoSpaceDN w:val="0"/>
        <w:adjustRightInd w:val="0"/>
        <w:spacing w:after="0" w:line="360" w:lineRule="auto"/>
        <w:ind w:right="1700"/>
        <w:jc w:val="both"/>
        <w:rPr>
          <w:rFonts w:ascii="Times New Roman" w:eastAsia="Times New Roman" w:hAnsi="Times New Roman" w:cs="Times New Roman"/>
          <w:kern w:val="2"/>
          <w:sz w:val="26"/>
          <w:szCs w:val="26"/>
        </w:rPr>
      </w:pPr>
      <w:r>
        <w:rPr>
          <w:rFonts w:ascii="Times New Roman" w:eastAsia="Times New Roman" w:hAnsi="Times New Roman" w:cs="Times New Roman"/>
          <w:b/>
          <w:kern w:val="2"/>
          <w:sz w:val="26"/>
          <w:szCs w:val="24"/>
        </w:rPr>
        <w:t>b.</w:t>
      </w:r>
      <w:r w:rsidR="000B4B07" w:rsidRPr="000B4B07">
        <w:rPr>
          <w:rFonts w:ascii="Times New Roman" w:eastAsia="Times New Roman" w:hAnsi="Times New Roman" w:cs="Times New Roman"/>
          <w:kern w:val="2"/>
          <w:sz w:val="26"/>
          <w:szCs w:val="26"/>
        </w:rPr>
        <w:t xml:space="preserve"> </w:t>
      </w:r>
      <w:r w:rsidR="000B4B07">
        <w:rPr>
          <w:rFonts w:ascii="Times New Roman" w:eastAsia="Times New Roman" w:hAnsi="Times New Roman" w:cs="Times New Roman"/>
          <w:kern w:val="2"/>
          <w:sz w:val="26"/>
          <w:szCs w:val="26"/>
        </w:rPr>
        <w:t xml:space="preserve">L’art. 2 d.lgs. 215/03, dopo aver fornito al suo primo comma la definizione di discriminazione diretta ed indiretta, al comma successivo recita: </w:t>
      </w:r>
      <w:r w:rsidR="000B4B07">
        <w:rPr>
          <w:rFonts w:ascii="Times New Roman" w:eastAsia="Times New Roman" w:hAnsi="Times New Roman" w:cs="Times New Roman"/>
          <w:i/>
          <w:kern w:val="2"/>
          <w:sz w:val="26"/>
          <w:szCs w:val="26"/>
        </w:rPr>
        <w:t>“è fatto salvo il disposto dell’art. 43, commi 1 e 2, del TU immigrazione</w:t>
      </w:r>
      <w:r w:rsidR="000B4B07">
        <w:rPr>
          <w:rFonts w:ascii="Times New Roman" w:eastAsia="Times New Roman" w:hAnsi="Times New Roman" w:cs="Times New Roman"/>
          <w:kern w:val="2"/>
          <w:sz w:val="26"/>
          <w:szCs w:val="26"/>
        </w:rPr>
        <w:t>” (ove, come noto, troviamo espressamente considerato il fattore di discriminazione “origine nazionale”</w:t>
      </w:r>
      <w:r w:rsidR="00B97877">
        <w:rPr>
          <w:rStyle w:val="Rimandonotaapidipagina"/>
          <w:rFonts w:ascii="Times New Roman" w:eastAsia="Times New Roman" w:hAnsi="Times New Roman" w:cs="Times New Roman"/>
          <w:kern w:val="2"/>
          <w:sz w:val="26"/>
          <w:szCs w:val="26"/>
        </w:rPr>
        <w:footnoteReference w:id="7"/>
      </w:r>
      <w:r w:rsidR="000B4B07">
        <w:rPr>
          <w:rFonts w:ascii="Times New Roman" w:eastAsia="Times New Roman" w:hAnsi="Times New Roman" w:cs="Times New Roman"/>
          <w:kern w:val="2"/>
          <w:sz w:val="26"/>
          <w:szCs w:val="26"/>
        </w:rPr>
        <w:t xml:space="preserve"> e la condizione di straniero)</w:t>
      </w:r>
      <w:r w:rsidR="001F2724">
        <w:rPr>
          <w:rFonts w:ascii="Times New Roman" w:eastAsia="Times New Roman" w:hAnsi="Times New Roman" w:cs="Times New Roman"/>
          <w:kern w:val="2"/>
          <w:sz w:val="26"/>
          <w:szCs w:val="26"/>
        </w:rPr>
        <w:t xml:space="preserve">. E l’art. 4 del medesimo </w:t>
      </w:r>
      <w:proofErr w:type="spellStart"/>
      <w:r w:rsidR="001F2724">
        <w:rPr>
          <w:rFonts w:ascii="Times New Roman" w:eastAsia="Times New Roman" w:hAnsi="Times New Roman" w:cs="Times New Roman"/>
          <w:kern w:val="2"/>
          <w:sz w:val="26"/>
          <w:szCs w:val="26"/>
        </w:rPr>
        <w:t>D.lgs</w:t>
      </w:r>
      <w:proofErr w:type="spellEnd"/>
      <w:r w:rsidR="000B4B07">
        <w:rPr>
          <w:rFonts w:ascii="Times New Roman" w:eastAsia="Times New Roman" w:hAnsi="Times New Roman" w:cs="Times New Roman"/>
          <w:kern w:val="2"/>
          <w:sz w:val="26"/>
          <w:szCs w:val="26"/>
        </w:rPr>
        <w:t xml:space="preserve">, disciplinando l’azione civile contro la discriminazione, la riferisce a tutti i diritti di cui all’art. 2,: ciò significa che l’azione civile ex art. 4 può essere azionata per i diritti indicati direttamente nell’art. 2 (il diritto alla non discriminazione per etnia e razza) e per i diritti ivi indicati “per rinvio” (il diritto alla non discriminazione per nazionalità). Questa serie successiva di rinvii conferma dunque che, nelle intenzioni del legislatore, le due tutele si debbono sommare tra loro. </w:t>
      </w:r>
    </w:p>
    <w:p w:rsidR="0087083F" w:rsidRDefault="0087083F" w:rsidP="0087083F">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b/>
          <w:kern w:val="2"/>
          <w:sz w:val="26"/>
          <w:szCs w:val="24"/>
        </w:rPr>
      </w:pPr>
    </w:p>
    <w:p w:rsidR="000B4B07" w:rsidRDefault="0087083F" w:rsidP="000B4B07">
      <w:pPr>
        <w:widowControl w:val="0"/>
        <w:tabs>
          <w:tab w:val="left" w:pos="426"/>
        </w:tabs>
        <w:autoSpaceDE w:val="0"/>
        <w:autoSpaceDN w:val="0"/>
        <w:adjustRightInd w:val="0"/>
        <w:spacing w:after="0" w:line="360" w:lineRule="auto"/>
        <w:ind w:right="1700"/>
        <w:jc w:val="both"/>
        <w:rPr>
          <w:rFonts w:ascii="Times New Roman" w:eastAsia="Times New Roman" w:hAnsi="Times New Roman" w:cs="Times New Roman"/>
          <w:kern w:val="2"/>
          <w:sz w:val="26"/>
          <w:szCs w:val="26"/>
        </w:rPr>
      </w:pPr>
      <w:r>
        <w:rPr>
          <w:rFonts w:ascii="Times New Roman" w:eastAsia="Times New Roman" w:hAnsi="Times New Roman" w:cs="Times New Roman"/>
          <w:b/>
          <w:kern w:val="2"/>
          <w:sz w:val="26"/>
          <w:szCs w:val="26"/>
        </w:rPr>
        <w:t>c.</w:t>
      </w:r>
      <w:r w:rsidR="000B4B07" w:rsidRPr="000B4B07">
        <w:rPr>
          <w:rFonts w:ascii="Times New Roman" w:eastAsia="Times New Roman" w:hAnsi="Times New Roman" w:cs="Times New Roman"/>
          <w:kern w:val="2"/>
          <w:sz w:val="26"/>
          <w:szCs w:val="26"/>
        </w:rPr>
        <w:t xml:space="preserve"> </w:t>
      </w:r>
      <w:r w:rsidR="000B4B07">
        <w:rPr>
          <w:rFonts w:ascii="Times New Roman" w:eastAsia="Times New Roman" w:hAnsi="Times New Roman" w:cs="Times New Roman"/>
          <w:kern w:val="2"/>
          <w:sz w:val="26"/>
          <w:szCs w:val="26"/>
        </w:rPr>
        <w:t xml:space="preserve">Non pare invece rilevante l’esclusione di cui all’art. 3 comma 2 direttiva 2000/43 (e all’analoga norma del D.lgs 215/03), sulla quale insiste spesso la tesi contraria. In proposito ha correttamente affermato il </w:t>
      </w:r>
      <w:r w:rsidR="000B4B07">
        <w:rPr>
          <w:rFonts w:ascii="Times New Roman" w:eastAsia="Times New Roman" w:hAnsi="SimSun" w:cs="Times New Roman"/>
          <w:kern w:val="2"/>
          <w:sz w:val="26"/>
          <w:szCs w:val="26"/>
        </w:rPr>
        <w:t>Trib. Milano in sede di reclamo (29.9.10, in causa Comune di Tradate e altri c. ASGI, in Riv.critica dir.lav. 201</w:t>
      </w:r>
      <w:r w:rsidR="000B4B07">
        <w:rPr>
          <w:rFonts w:ascii="Times New Roman" w:eastAsia="Times New Roman" w:hAnsi="Times New Roman" w:cs="Times New Roman"/>
          <w:kern w:val="2"/>
          <w:sz w:val="26"/>
          <w:szCs w:val="26"/>
        </w:rPr>
        <w:t>0) : “</w:t>
      </w:r>
      <w:r w:rsidR="000B4B07">
        <w:rPr>
          <w:rFonts w:ascii="Times New Roman" w:eastAsia="Times New Roman" w:hAnsi="Times New Roman" w:cs="Times New Roman"/>
          <w:i/>
          <w:kern w:val="2"/>
          <w:sz w:val="26"/>
          <w:szCs w:val="26"/>
        </w:rPr>
        <w:t>va solo aggiunto che la clausola di esclusione di cui all’art. 3, comma 2 direttiva 2000/43 ha solo inteso chiarire che detta direttiva non intendeva introdurre surrettiziamente una disciplina comunitaria dell’immigrazione (della quale, all’epoca, i singoli Stati erano gelosi custodi) , ma ciò  ovviamente</w:t>
      </w:r>
      <w:r w:rsidR="005C4CF9">
        <w:rPr>
          <w:rFonts w:ascii="Times New Roman" w:eastAsia="Times New Roman" w:hAnsi="Times New Roman" w:cs="Times New Roman"/>
          <w:i/>
          <w:kern w:val="2"/>
          <w:sz w:val="26"/>
          <w:szCs w:val="26"/>
        </w:rPr>
        <w:t xml:space="preserve"> </w:t>
      </w:r>
      <w:r w:rsidR="000B4B07">
        <w:rPr>
          <w:rFonts w:ascii="Times New Roman" w:eastAsia="Times New Roman" w:hAnsi="Times New Roman" w:cs="Times New Roman"/>
          <w:i/>
          <w:kern w:val="2"/>
          <w:sz w:val="26"/>
          <w:szCs w:val="26"/>
        </w:rPr>
        <w:t xml:space="preserve">non ha nulla a che vedere con il fatto che il divieto di discriminazione dello straniero (e quindi – per i motivi detti - anche dell’appartenente ad altra etnia) trovi applicazione anche in tutte le </w:t>
      </w:r>
      <w:r w:rsidR="000B4B07">
        <w:rPr>
          <w:rFonts w:ascii="Times New Roman" w:eastAsia="Times New Roman" w:hAnsi="Times New Roman" w:cs="Times New Roman"/>
          <w:i/>
          <w:kern w:val="2"/>
          <w:sz w:val="26"/>
          <w:szCs w:val="26"/>
        </w:rPr>
        <w:lastRenderedPageBreak/>
        <w:t>materie diverse dall’ingresso e soggiorno e quindi in particolare nella materia dell’accesso alle prestazioni sociali</w:t>
      </w:r>
      <w:r w:rsidR="000B4B07">
        <w:rPr>
          <w:rFonts w:ascii="Times New Roman" w:eastAsia="Times New Roman" w:hAnsi="Times New Roman" w:cs="Times New Roman"/>
          <w:kern w:val="2"/>
          <w:sz w:val="26"/>
          <w:szCs w:val="26"/>
        </w:rPr>
        <w:t>”</w:t>
      </w:r>
      <w:r w:rsidR="000B4B07">
        <w:rPr>
          <w:rFonts w:ascii="Times New Roman" w:eastAsia="Times New Roman" w:hAnsi="SimSun" w:cs="Times New Roman"/>
          <w:kern w:val="2"/>
          <w:sz w:val="26"/>
          <w:szCs w:val="26"/>
        </w:rPr>
        <w:t>.</w:t>
      </w:r>
    </w:p>
    <w:p w:rsidR="0087083F" w:rsidRDefault="0087083F" w:rsidP="0087083F">
      <w:pPr>
        <w:widowControl w:val="0"/>
        <w:tabs>
          <w:tab w:val="left" w:pos="426"/>
        </w:tabs>
        <w:autoSpaceDE w:val="0"/>
        <w:autoSpaceDN w:val="0"/>
        <w:adjustRightInd w:val="0"/>
        <w:spacing w:after="0" w:line="360" w:lineRule="auto"/>
        <w:ind w:right="1700"/>
        <w:jc w:val="both"/>
        <w:rPr>
          <w:rFonts w:ascii="Times New Roman" w:eastAsia="Times New Roman" w:hAnsi="Times New Roman" w:cs="Times New Roman"/>
          <w:b/>
          <w:kern w:val="2"/>
          <w:sz w:val="26"/>
          <w:szCs w:val="26"/>
        </w:rPr>
      </w:pPr>
    </w:p>
    <w:p w:rsidR="000B4B07" w:rsidRDefault="0087083F" w:rsidP="000B4B07">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Pr>
          <w:rFonts w:ascii="Times New Roman" w:eastAsia="Times New Roman" w:hAnsi="Times New Roman" w:cs="Times New Roman"/>
          <w:b/>
          <w:kern w:val="2"/>
          <w:sz w:val="26"/>
          <w:szCs w:val="24"/>
        </w:rPr>
        <w:t>d.</w:t>
      </w:r>
      <w:r w:rsidR="000B4B07" w:rsidRPr="000B4B07">
        <w:rPr>
          <w:rFonts w:ascii="Times New Roman" w:eastAsia="Times New Roman" w:hAnsi="Times New Roman" w:cs="Times New Roman"/>
          <w:kern w:val="2"/>
          <w:sz w:val="26"/>
          <w:szCs w:val="24"/>
        </w:rPr>
        <w:t xml:space="preserve"> </w:t>
      </w:r>
      <w:r w:rsidR="000B4B07">
        <w:rPr>
          <w:rFonts w:ascii="Times New Roman" w:eastAsia="Times New Roman" w:hAnsi="Times New Roman" w:cs="Times New Roman"/>
          <w:kern w:val="2"/>
          <w:sz w:val="26"/>
          <w:szCs w:val="24"/>
        </w:rPr>
        <w:t>Il Tribunale di Milano - nella pronuncia di primo grado relativa alla medesima vicenda di</w:t>
      </w:r>
      <w:r w:rsidR="006B31F0">
        <w:rPr>
          <w:rFonts w:ascii="Times New Roman" w:eastAsia="Times New Roman" w:hAnsi="Times New Roman" w:cs="Times New Roman"/>
          <w:kern w:val="2"/>
          <w:sz w:val="26"/>
          <w:szCs w:val="24"/>
        </w:rPr>
        <w:t xml:space="preserve"> cui sopra -</w:t>
      </w:r>
      <w:r w:rsidR="000B4B07">
        <w:rPr>
          <w:rFonts w:ascii="Times New Roman" w:eastAsia="Times New Roman" w:hAnsi="Times New Roman" w:cs="Times New Roman"/>
          <w:kern w:val="2"/>
          <w:sz w:val="26"/>
          <w:szCs w:val="24"/>
        </w:rPr>
        <w:t xml:space="preserve"> ha anche rilevato che quanto sopra vale a maggior ragione alla luce della clausola di non regresso di cui all’art. 6 paragrafo 2 della direttiva 2000/43, in forza della quale non sarebbe comunque ammissibile, in occasione della ricezione della direttiva, </w:t>
      </w:r>
      <w:r w:rsidR="005C4CF9">
        <w:rPr>
          <w:rFonts w:ascii="Times New Roman" w:eastAsia="Times New Roman" w:hAnsi="Times New Roman" w:cs="Times New Roman"/>
          <w:kern w:val="2"/>
          <w:sz w:val="26"/>
          <w:szCs w:val="24"/>
        </w:rPr>
        <w:t>una</w:t>
      </w:r>
      <w:r w:rsidR="000B4B07">
        <w:rPr>
          <w:rFonts w:ascii="Times New Roman" w:eastAsia="Times New Roman" w:hAnsi="Times New Roman" w:cs="Times New Roman"/>
          <w:kern w:val="2"/>
          <w:sz w:val="26"/>
          <w:szCs w:val="24"/>
        </w:rPr>
        <w:t xml:space="preserve"> riduzione delle più ampie tutele introdotte dal legislatore nazionale nel 1998: argomentazione forse non del tutto convincente (non trattandosi qui di una riduzione di tutele quanto di una </w:t>
      </w:r>
      <w:r w:rsidR="006A6BD4">
        <w:rPr>
          <w:rFonts w:ascii="Times New Roman" w:eastAsia="Times New Roman" w:hAnsi="Times New Roman" w:cs="Times New Roman"/>
          <w:kern w:val="2"/>
          <w:sz w:val="26"/>
          <w:szCs w:val="24"/>
        </w:rPr>
        <w:t>‘</w:t>
      </w:r>
      <w:r w:rsidR="000B4B07">
        <w:rPr>
          <w:rFonts w:ascii="Times New Roman" w:eastAsia="Times New Roman" w:hAnsi="Times New Roman" w:cs="Times New Roman"/>
          <w:kern w:val="2"/>
          <w:sz w:val="26"/>
          <w:szCs w:val="24"/>
        </w:rPr>
        <w:t>mancata espansione</w:t>
      </w:r>
      <w:r w:rsidR="006A6BD4">
        <w:rPr>
          <w:rFonts w:ascii="Times New Roman" w:eastAsia="Times New Roman" w:hAnsi="Times New Roman" w:cs="Times New Roman"/>
          <w:kern w:val="2"/>
          <w:sz w:val="26"/>
          <w:szCs w:val="24"/>
        </w:rPr>
        <w:t>’</w:t>
      </w:r>
      <w:r w:rsidR="000B4B07">
        <w:rPr>
          <w:rFonts w:ascii="Times New Roman" w:eastAsia="Times New Roman" w:hAnsi="Times New Roman" w:cs="Times New Roman"/>
          <w:kern w:val="2"/>
          <w:sz w:val="26"/>
          <w:szCs w:val="24"/>
        </w:rPr>
        <w:t xml:space="preserve"> della tutela stessa) ma che va comunque considerata prendendo atto che la impossibilità di tutela co</w:t>
      </w:r>
      <w:r w:rsidR="006A6BD4">
        <w:rPr>
          <w:rFonts w:ascii="Times New Roman" w:eastAsia="Times New Roman" w:hAnsi="Times New Roman" w:cs="Times New Roman"/>
          <w:kern w:val="2"/>
          <w:sz w:val="26"/>
          <w:szCs w:val="24"/>
        </w:rPr>
        <w:t>llettive nella discriminazione ‘</w:t>
      </w:r>
      <w:r w:rsidR="000B4B07">
        <w:rPr>
          <w:rFonts w:ascii="Times New Roman" w:eastAsia="Times New Roman" w:hAnsi="Times New Roman" w:cs="Times New Roman"/>
          <w:kern w:val="2"/>
          <w:sz w:val="26"/>
          <w:szCs w:val="24"/>
        </w:rPr>
        <w:t>dello straniero</w:t>
      </w:r>
      <w:r w:rsidR="006A6BD4">
        <w:rPr>
          <w:rFonts w:ascii="Times New Roman" w:eastAsia="Times New Roman" w:hAnsi="Times New Roman" w:cs="Times New Roman"/>
          <w:kern w:val="2"/>
          <w:sz w:val="26"/>
          <w:szCs w:val="24"/>
        </w:rPr>
        <w:t>’</w:t>
      </w:r>
      <w:r w:rsidR="000B4B07">
        <w:rPr>
          <w:rFonts w:ascii="Times New Roman" w:eastAsia="Times New Roman" w:hAnsi="Times New Roman" w:cs="Times New Roman"/>
          <w:kern w:val="2"/>
          <w:sz w:val="26"/>
          <w:szCs w:val="24"/>
        </w:rPr>
        <w:t xml:space="preserve"> rappresenta di fatto uno svuotamento dell’art. 43 TU immigrazione.</w:t>
      </w:r>
    </w:p>
    <w:p w:rsidR="0087083F" w:rsidRDefault="0087083F" w:rsidP="0087083F">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b/>
          <w:kern w:val="2"/>
          <w:sz w:val="26"/>
          <w:szCs w:val="24"/>
        </w:rPr>
      </w:pPr>
    </w:p>
    <w:p w:rsidR="0087083F" w:rsidRDefault="0087083F" w:rsidP="006B31F0">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b/>
          <w:kern w:val="2"/>
          <w:sz w:val="26"/>
          <w:szCs w:val="24"/>
        </w:rPr>
        <w:t>e.</w:t>
      </w:r>
      <w:r w:rsidR="006B31F0" w:rsidRPr="006B31F0">
        <w:rPr>
          <w:rFonts w:ascii="Times New Roman" w:eastAsia="Times New Roman" w:hAnsi="Times New Roman" w:cs="Times New Roman"/>
          <w:kern w:val="2"/>
          <w:sz w:val="26"/>
          <w:szCs w:val="24"/>
        </w:rPr>
        <w:t xml:space="preserve"> </w:t>
      </w:r>
      <w:r w:rsidR="006B31F0">
        <w:rPr>
          <w:rFonts w:ascii="Times New Roman" w:eastAsia="Times New Roman" w:hAnsi="Times New Roman" w:cs="Times New Roman"/>
          <w:kern w:val="2"/>
          <w:sz w:val="26"/>
          <w:szCs w:val="24"/>
        </w:rPr>
        <w:t>La CGE, se da un lato nella sentenza Kamberaj ha espressamente dichiarato che la direttiva 2000/43 non riguarda le differenze di trattamento basate sulla nazionalità, nella</w:t>
      </w:r>
      <w:r w:rsidR="005C4CF9">
        <w:rPr>
          <w:rFonts w:ascii="Times New Roman" w:eastAsia="Times New Roman" w:hAnsi="Times New Roman" w:cs="Times New Roman"/>
          <w:kern w:val="2"/>
          <w:sz w:val="26"/>
          <w:szCs w:val="24"/>
        </w:rPr>
        <w:t xml:space="preserve"> </w:t>
      </w:r>
      <w:r w:rsidR="006B31F0">
        <w:rPr>
          <w:rFonts w:ascii="Times New Roman" w:eastAsia="Times New Roman" w:hAnsi="Times New Roman" w:cs="Times New Roman"/>
          <w:kern w:val="2"/>
          <w:sz w:val="26"/>
          <w:szCs w:val="24"/>
        </w:rPr>
        <w:t>precedente pronuncia Feryn 2008 -</w:t>
      </w:r>
      <w:r w:rsidR="005C4CF9">
        <w:rPr>
          <w:rFonts w:ascii="Times New Roman" w:eastAsia="Times New Roman" w:hAnsi="Times New Roman" w:cs="Times New Roman"/>
          <w:kern w:val="2"/>
          <w:sz w:val="26"/>
          <w:szCs w:val="24"/>
        </w:rPr>
        <w:t xml:space="preserve"> </w:t>
      </w:r>
      <w:r w:rsidR="006B31F0">
        <w:rPr>
          <w:rFonts w:ascii="Times New Roman" w:eastAsia="Times New Roman" w:hAnsi="Times New Roman" w:cs="Times New Roman"/>
          <w:kern w:val="2"/>
          <w:sz w:val="26"/>
          <w:szCs w:val="24"/>
        </w:rPr>
        <w:t>pur non affrontando espressamente il problema -</w:t>
      </w:r>
      <w:r w:rsidR="005C4CF9">
        <w:rPr>
          <w:rFonts w:ascii="Times New Roman" w:eastAsia="Times New Roman" w:hAnsi="Times New Roman" w:cs="Times New Roman"/>
          <w:kern w:val="2"/>
          <w:sz w:val="26"/>
          <w:szCs w:val="24"/>
        </w:rPr>
        <w:t xml:space="preserve"> </w:t>
      </w:r>
      <w:r w:rsidR="006B31F0">
        <w:rPr>
          <w:rFonts w:ascii="Times New Roman" w:eastAsia="Times New Roman" w:hAnsi="Times New Roman" w:cs="Times New Roman"/>
          <w:kern w:val="2"/>
          <w:sz w:val="26"/>
          <w:szCs w:val="24"/>
        </w:rPr>
        <w:t>ha ritenuto la direttiva applicabile a un caso di discriminazione di lavoratori ‘alloctoni’ e dunque stranieri. In proposito va aggiunto che il questo specifico</w:t>
      </w:r>
      <w:r w:rsidR="005C4CF9">
        <w:rPr>
          <w:rFonts w:ascii="Times New Roman" w:eastAsia="Times New Roman" w:hAnsi="Times New Roman" w:cs="Times New Roman"/>
          <w:kern w:val="2"/>
          <w:sz w:val="26"/>
          <w:szCs w:val="24"/>
        </w:rPr>
        <w:t xml:space="preserve"> </w:t>
      </w:r>
      <w:r w:rsidR="006B31F0">
        <w:rPr>
          <w:rFonts w:ascii="Times New Roman" w:eastAsia="Times New Roman" w:hAnsi="Times New Roman" w:cs="Times New Roman"/>
          <w:kern w:val="2"/>
          <w:sz w:val="26"/>
          <w:szCs w:val="24"/>
        </w:rPr>
        <w:t xml:space="preserve">posto alla Corte riguardava la possibilità di configurare una discriminazione (con conseguente applicabilità della direttiva) anche </w:t>
      </w:r>
      <w:r w:rsidR="00B90A20">
        <w:rPr>
          <w:rFonts w:ascii="Times New Roman" w:eastAsia="Times New Roman" w:hAnsi="Times New Roman" w:cs="Times New Roman"/>
          <w:kern w:val="2"/>
          <w:sz w:val="26"/>
          <w:szCs w:val="24"/>
        </w:rPr>
        <w:t xml:space="preserve">quando </w:t>
      </w:r>
      <w:r w:rsidR="006B31F0">
        <w:rPr>
          <w:rFonts w:ascii="Times New Roman" w:eastAsia="Times New Roman" w:hAnsi="Times New Roman" w:cs="Times New Roman"/>
          <w:kern w:val="2"/>
          <w:sz w:val="26"/>
          <w:szCs w:val="24"/>
        </w:rPr>
        <w:t xml:space="preserve">non vi sia un soggetto che lamenti espressamente la lesione del suo diritto alla parità. La Corte, come noto, ha risposto affermativamente: ma questa affermazione – che è ormai un dato acquisito del diritto antidiscriminatorio e che ha trovato </w:t>
      </w:r>
      <w:r w:rsidR="00C632F5">
        <w:rPr>
          <w:rFonts w:ascii="Times New Roman" w:eastAsia="Times New Roman" w:hAnsi="Times New Roman" w:cs="Times New Roman"/>
          <w:kern w:val="2"/>
          <w:sz w:val="26"/>
          <w:szCs w:val="24"/>
        </w:rPr>
        <w:t>applicazione anche in casi nazionali</w:t>
      </w:r>
      <w:r w:rsidR="00C632F5">
        <w:rPr>
          <w:rStyle w:val="Rimandonotaapidipagina"/>
          <w:rFonts w:ascii="Times New Roman" w:eastAsia="Times New Roman" w:hAnsi="Times New Roman" w:cs="Times New Roman"/>
          <w:kern w:val="2"/>
          <w:sz w:val="26"/>
          <w:szCs w:val="24"/>
        </w:rPr>
        <w:footnoteReference w:id="8"/>
      </w:r>
      <w:r w:rsidR="00C632F5">
        <w:rPr>
          <w:rFonts w:ascii="Times New Roman" w:eastAsia="Times New Roman" w:hAnsi="Times New Roman" w:cs="Times New Roman"/>
          <w:kern w:val="2"/>
          <w:sz w:val="26"/>
          <w:szCs w:val="24"/>
        </w:rPr>
        <w:t xml:space="preserve"> </w:t>
      </w:r>
      <w:r w:rsidR="00536F52">
        <w:rPr>
          <w:rFonts w:ascii="Times New Roman" w:eastAsia="Times New Roman" w:hAnsi="Times New Roman" w:cs="Times New Roman"/>
          <w:kern w:val="2"/>
          <w:sz w:val="26"/>
          <w:szCs w:val="24"/>
        </w:rPr>
        <w:t xml:space="preserve"> - resterebbe priva di effetti pratici e anzi sarebbe del tutto priva di senso </w:t>
      </w:r>
      <w:r>
        <w:rPr>
          <w:rFonts w:ascii="Times New Roman" w:eastAsia="Times New Roman" w:hAnsi="Times New Roman" w:cs="Times New Roman"/>
          <w:kern w:val="2"/>
          <w:sz w:val="26"/>
          <w:szCs w:val="24"/>
        </w:rPr>
        <w:t xml:space="preserve">se non si riconoscesse la legittimazione attiva a un soggetto collettivo diverso dai singoli soggetti direttamente lesi. </w:t>
      </w:r>
    </w:p>
    <w:p w:rsidR="00B90A20" w:rsidRDefault="00B90A20" w:rsidP="006B31F0">
      <w:pPr>
        <w:widowControl w:val="0"/>
        <w:tabs>
          <w:tab w:val="left" w:pos="-13"/>
        </w:tabs>
        <w:autoSpaceDE w:val="0"/>
        <w:autoSpaceDN w:val="0"/>
        <w:adjustRightInd w:val="0"/>
        <w:spacing w:after="0" w:line="360" w:lineRule="auto"/>
        <w:ind w:right="1700"/>
        <w:jc w:val="both"/>
        <w:rPr>
          <w:rFonts w:ascii="Times New Roman" w:eastAsia="Times New Roman" w:hAnsi="Times New Roman" w:cs="Times New Roman"/>
          <w:kern w:val="2"/>
          <w:sz w:val="26"/>
          <w:szCs w:val="24"/>
        </w:rPr>
      </w:pPr>
    </w:p>
    <w:p w:rsidR="00B90A20" w:rsidRDefault="0087083F" w:rsidP="00B90A20">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b/>
          <w:kern w:val="2"/>
          <w:sz w:val="26"/>
          <w:szCs w:val="24"/>
        </w:rPr>
        <w:t>f.</w:t>
      </w:r>
      <w:r w:rsidR="00B90A20" w:rsidRPr="00B90A20">
        <w:rPr>
          <w:rFonts w:ascii="Times New Roman" w:eastAsia="Times New Roman" w:hAnsi="Times New Roman" w:cs="Times New Roman"/>
          <w:kern w:val="2"/>
          <w:sz w:val="26"/>
          <w:szCs w:val="24"/>
        </w:rPr>
        <w:t xml:space="preserve"> </w:t>
      </w:r>
      <w:r w:rsidR="00B90A20">
        <w:rPr>
          <w:rFonts w:ascii="Times New Roman" w:eastAsia="Times New Roman" w:hAnsi="Times New Roman" w:cs="Times New Roman"/>
          <w:kern w:val="2"/>
          <w:sz w:val="26"/>
          <w:szCs w:val="24"/>
        </w:rPr>
        <w:t xml:space="preserve">Il nuovo rito antidiscriminatorio (art. 28 D.Lgs. 150/2011) disciplina in termini identici sia il procedimento relativo alle controversie relative alla nazionalità di cui agli artt. 43 e 44 T.U. immigrazione, sia quello relativo alle controversie </w:t>
      </w:r>
      <w:r w:rsidR="005C4CF9">
        <w:rPr>
          <w:rFonts w:ascii="Times New Roman" w:eastAsia="Times New Roman" w:hAnsi="Times New Roman" w:cs="Times New Roman"/>
          <w:kern w:val="2"/>
          <w:sz w:val="26"/>
          <w:szCs w:val="24"/>
        </w:rPr>
        <w:t xml:space="preserve">relative all’etnia ex art. 2 D.lgs. </w:t>
      </w:r>
      <w:r w:rsidR="00B90A20">
        <w:rPr>
          <w:rFonts w:ascii="Times New Roman" w:eastAsia="Times New Roman" w:hAnsi="Times New Roman" w:cs="Times New Roman"/>
          <w:kern w:val="2"/>
          <w:sz w:val="26"/>
          <w:szCs w:val="24"/>
        </w:rPr>
        <w:t>215/03.</w:t>
      </w:r>
    </w:p>
    <w:p w:rsidR="00B90A20" w:rsidRDefault="00B90A20" w:rsidP="00B90A20">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Il citato art. 28, l</w:t>
      </w:r>
      <w:r w:rsidR="00E3450D">
        <w:rPr>
          <w:rFonts w:ascii="Times New Roman" w:eastAsia="Times New Roman" w:hAnsi="Times New Roman" w:cs="Times New Roman"/>
          <w:kern w:val="2"/>
          <w:sz w:val="26"/>
          <w:szCs w:val="24"/>
        </w:rPr>
        <w:t>addove parla dell’</w:t>
      </w:r>
      <w:r>
        <w:rPr>
          <w:rFonts w:ascii="Times New Roman" w:eastAsia="Times New Roman" w:hAnsi="Times New Roman" w:cs="Times New Roman"/>
          <w:kern w:val="2"/>
          <w:sz w:val="26"/>
          <w:szCs w:val="24"/>
        </w:rPr>
        <w:t>adozione di un piano di rimozione degli effetti della discriminazione,  così dispone: “</w:t>
      </w:r>
      <w:r>
        <w:rPr>
          <w:rFonts w:ascii="Times New Roman" w:eastAsia="Times New Roman" w:hAnsi="Times New Roman" w:cs="Times New Roman"/>
          <w:i/>
          <w:kern w:val="2"/>
          <w:sz w:val="26"/>
          <w:szCs w:val="24"/>
        </w:rPr>
        <w:t>Nei casi di comportamento discriminatorio collettivo, il piano è adottato sentito l’ente collettivo ricorrente”</w:t>
      </w:r>
      <w:r>
        <w:rPr>
          <w:rFonts w:ascii="Times New Roman" w:eastAsia="Times New Roman" w:hAnsi="Times New Roman" w:cs="Times New Roman"/>
          <w:kern w:val="2"/>
          <w:sz w:val="26"/>
          <w:szCs w:val="24"/>
        </w:rPr>
        <w:t xml:space="preserve">. </w:t>
      </w:r>
    </w:p>
    <w:p w:rsidR="00B90A20" w:rsidRDefault="00B90A20" w:rsidP="00B90A20">
      <w:pPr>
        <w:widowControl w:val="0"/>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6"/>
          <w:szCs w:val="24"/>
        </w:rPr>
        <w:t>Ebbene tale ultima espressione sarebbe del tutto illogica se, nell’ambito delle discriminazioni per nazionalità ex art. 44 TU</w:t>
      </w:r>
      <w:r w:rsidR="005C4CF9">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 xml:space="preserve"> potessero avere legittimazione le sole OO.SS. (come accadrebbe se non valesse la tesi qui sostenuta</w:t>
      </w:r>
      <w:r w:rsidR="00E3450D">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posto che l’ordinamento non utilizza </w:t>
      </w:r>
      <w:r>
        <w:rPr>
          <w:rFonts w:ascii="Times New Roman" w:eastAsia="Times New Roman" w:hAnsi="Times New Roman" w:cs="Times New Roman"/>
          <w:b/>
          <w:kern w:val="2"/>
          <w:sz w:val="26"/>
          <w:szCs w:val="24"/>
        </w:rPr>
        <w:t>mai</w:t>
      </w:r>
      <w:r>
        <w:rPr>
          <w:rFonts w:ascii="Times New Roman" w:eastAsia="Times New Roman" w:hAnsi="Times New Roman" w:cs="Times New Roman"/>
          <w:kern w:val="2"/>
          <w:sz w:val="26"/>
          <w:szCs w:val="24"/>
        </w:rPr>
        <w:t xml:space="preserve"> </w:t>
      </w:r>
      <w:r w:rsidR="00E3450D">
        <w:rPr>
          <w:rFonts w:ascii="Times New Roman" w:eastAsia="Times New Roman" w:hAnsi="Times New Roman" w:cs="Times New Roman"/>
          <w:kern w:val="2"/>
          <w:sz w:val="26"/>
          <w:szCs w:val="24"/>
        </w:rPr>
        <w:t xml:space="preserve">la dizione ‘ente collettivo’ </w:t>
      </w:r>
      <w:r>
        <w:rPr>
          <w:rFonts w:ascii="Times New Roman" w:eastAsia="Times New Roman" w:hAnsi="Times New Roman" w:cs="Times New Roman"/>
          <w:kern w:val="2"/>
          <w:sz w:val="26"/>
          <w:szCs w:val="24"/>
        </w:rPr>
        <w:t>per i</w:t>
      </w:r>
      <w:r w:rsidR="00E3450D">
        <w:rPr>
          <w:rFonts w:ascii="Times New Roman" w:eastAsia="Times New Roman" w:hAnsi="Times New Roman" w:cs="Times New Roman"/>
          <w:kern w:val="2"/>
          <w:sz w:val="26"/>
          <w:szCs w:val="24"/>
        </w:rPr>
        <w:t>dentificare le OO.SS</w:t>
      </w:r>
      <w:r>
        <w:rPr>
          <w:rFonts w:ascii="Times New Roman" w:eastAsia="Times New Roman" w:hAnsi="Times New Roman" w:cs="Times New Roman"/>
          <w:kern w:val="2"/>
          <w:sz w:val="26"/>
          <w:szCs w:val="24"/>
        </w:rPr>
        <w:t xml:space="preserve">. </w:t>
      </w:r>
    </w:p>
    <w:p w:rsidR="00536F52" w:rsidRPr="001F2724" w:rsidRDefault="001F2724" w:rsidP="00536F52">
      <w:pPr>
        <w:widowControl w:val="0"/>
        <w:autoSpaceDE w:val="0"/>
        <w:autoSpaceDN w:val="0"/>
        <w:adjustRightInd w:val="0"/>
        <w:spacing w:after="0" w:line="360" w:lineRule="auto"/>
        <w:ind w:right="1700"/>
        <w:jc w:val="center"/>
        <w:rPr>
          <w:rFonts w:ascii="Times New Roman" w:eastAsia="Times New Roman" w:hAnsi="Times New Roman" w:cs="Times New Roman"/>
          <w:b/>
          <w:kern w:val="2"/>
          <w:sz w:val="32"/>
          <w:szCs w:val="32"/>
        </w:rPr>
      </w:pPr>
      <w:r w:rsidRPr="001F2724">
        <w:rPr>
          <w:rFonts w:ascii="Times New Roman" w:eastAsia="Times New Roman" w:hAnsi="Times New Roman" w:cs="Times New Roman"/>
          <w:b/>
          <w:kern w:val="2"/>
          <w:sz w:val="32"/>
          <w:szCs w:val="32"/>
        </w:rPr>
        <w:t>***</w:t>
      </w:r>
    </w:p>
    <w:p w:rsidR="00B37001" w:rsidRDefault="00536F52"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sidRPr="00536F52">
        <w:rPr>
          <w:rFonts w:ascii="Times New Roman" w:eastAsia="Times New Roman" w:hAnsi="Times New Roman" w:cs="Times New Roman"/>
          <w:kern w:val="2"/>
          <w:sz w:val="26"/>
          <w:szCs w:val="24"/>
        </w:rPr>
        <w:t xml:space="preserve">Fin qui </w:t>
      </w:r>
      <w:r w:rsidR="00E3450D">
        <w:rPr>
          <w:rFonts w:ascii="Times New Roman" w:eastAsia="Times New Roman" w:hAnsi="Times New Roman" w:cs="Times New Roman"/>
          <w:kern w:val="2"/>
          <w:sz w:val="26"/>
          <w:szCs w:val="24"/>
        </w:rPr>
        <w:t xml:space="preserve">sono state illustrate </w:t>
      </w:r>
      <w:r w:rsidRPr="00536F52">
        <w:rPr>
          <w:rFonts w:ascii="Times New Roman" w:eastAsia="Times New Roman" w:hAnsi="Times New Roman" w:cs="Times New Roman"/>
          <w:kern w:val="2"/>
          <w:sz w:val="26"/>
          <w:szCs w:val="24"/>
        </w:rPr>
        <w:t>le argomentazioni</w:t>
      </w:r>
      <w:r>
        <w:rPr>
          <w:rFonts w:ascii="Times New Roman" w:eastAsia="Times New Roman" w:hAnsi="Times New Roman" w:cs="Times New Roman"/>
          <w:kern w:val="2"/>
          <w:sz w:val="26"/>
          <w:szCs w:val="24"/>
        </w:rPr>
        <w:t xml:space="preserve"> </w:t>
      </w:r>
      <w:r w:rsidR="00B37001">
        <w:rPr>
          <w:rFonts w:ascii="Times New Roman" w:eastAsia="Times New Roman" w:hAnsi="Times New Roman" w:cs="Times New Roman"/>
          <w:kern w:val="2"/>
          <w:sz w:val="26"/>
          <w:szCs w:val="24"/>
        </w:rPr>
        <w:t xml:space="preserve">sulle quali ha fatto leva </w:t>
      </w:r>
      <w:r>
        <w:rPr>
          <w:rFonts w:ascii="Times New Roman" w:eastAsia="Times New Roman" w:hAnsi="Times New Roman" w:cs="Times New Roman"/>
          <w:kern w:val="2"/>
          <w:sz w:val="26"/>
          <w:szCs w:val="24"/>
        </w:rPr>
        <w:t xml:space="preserve">la giurisprudenza </w:t>
      </w:r>
      <w:r w:rsidR="00B37001">
        <w:rPr>
          <w:rFonts w:ascii="Times New Roman" w:eastAsia="Times New Roman" w:hAnsi="Times New Roman" w:cs="Times New Roman"/>
          <w:kern w:val="2"/>
          <w:sz w:val="26"/>
          <w:szCs w:val="24"/>
        </w:rPr>
        <w:t>ampiamente maggioritaria e che portano a concludere che le discriminazioni per nazionalità devono avere tutela, anche processuale, analoga a quelle per origine etnica e che</w:t>
      </w:r>
      <w:r w:rsidR="00E3450D">
        <w:rPr>
          <w:rFonts w:ascii="Times New Roman" w:eastAsia="Times New Roman" w:hAnsi="Times New Roman" w:cs="Times New Roman"/>
          <w:kern w:val="2"/>
          <w:sz w:val="26"/>
          <w:szCs w:val="24"/>
        </w:rPr>
        <w:t>,</w:t>
      </w:r>
      <w:r w:rsidR="00B37001">
        <w:rPr>
          <w:rFonts w:ascii="Times New Roman" w:eastAsia="Times New Roman" w:hAnsi="Times New Roman" w:cs="Times New Roman"/>
          <w:kern w:val="2"/>
          <w:sz w:val="26"/>
          <w:szCs w:val="24"/>
        </w:rPr>
        <w:t xml:space="preserve"> dunque</w:t>
      </w:r>
      <w:r w:rsidR="00E3450D">
        <w:rPr>
          <w:rFonts w:ascii="Times New Roman" w:eastAsia="Times New Roman" w:hAnsi="Times New Roman" w:cs="Times New Roman"/>
          <w:kern w:val="2"/>
          <w:sz w:val="26"/>
          <w:szCs w:val="24"/>
        </w:rPr>
        <w:t>,</w:t>
      </w:r>
      <w:r w:rsidR="00B37001">
        <w:rPr>
          <w:rFonts w:ascii="Times New Roman" w:eastAsia="Times New Roman" w:hAnsi="Times New Roman" w:cs="Times New Roman"/>
          <w:kern w:val="2"/>
          <w:sz w:val="26"/>
          <w:szCs w:val="24"/>
        </w:rPr>
        <w:t xml:space="preserve"> la legittimazione attiva attribuita dal D.</w:t>
      </w:r>
      <w:r w:rsidR="00E3450D">
        <w:rPr>
          <w:rFonts w:ascii="Times New Roman" w:eastAsia="Times New Roman" w:hAnsi="Times New Roman" w:cs="Times New Roman"/>
          <w:kern w:val="2"/>
          <w:sz w:val="26"/>
          <w:szCs w:val="24"/>
        </w:rPr>
        <w:t>l</w:t>
      </w:r>
      <w:r w:rsidR="00B37001">
        <w:rPr>
          <w:rFonts w:ascii="Times New Roman" w:eastAsia="Times New Roman" w:hAnsi="Times New Roman" w:cs="Times New Roman"/>
          <w:kern w:val="2"/>
          <w:sz w:val="26"/>
          <w:szCs w:val="24"/>
        </w:rPr>
        <w:t>gs. 215/03 deve valere anche per i casi di discriminazione collettiva dello “straniero” previsti dagli artt. 43 e 44 TU immigrazione.</w:t>
      </w:r>
    </w:p>
    <w:p w:rsidR="00B37001" w:rsidRDefault="00B37001"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Vi è tuttavia un argomento ulteriore che può utilmente essere speso in tutti i casi (e sono i più numerosi) in cui l’azione civile contro la discriminazione viene utilizzata non in casi di esclusione (da un beneficio, da un diritto ecc.) di tutti gli stranieri, ma nei casi di esclusione di una parte soltanto di stranieri protetti da particolari normative comunitarie: si pensi alle numerosissime azioni antidiscriminatorie per contrastare l’esclusione dei lungosoggiornanti da benefici come l’assegno famiglie numerose ex art. 65 L. 448/98</w:t>
      </w:r>
      <w:r w:rsidR="00E3450D">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 xml:space="preserve"> oppure alle azioni per contrastare l’esclusione da determinate prestazioni degli stranieri protetti dalla direttiva 2011/98.</w:t>
      </w:r>
    </w:p>
    <w:p w:rsidR="0087083F" w:rsidRPr="00B37001" w:rsidRDefault="00B37001" w:rsidP="00B37001">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6"/>
        </w:rPr>
      </w:pPr>
      <w:r w:rsidRPr="00B37001">
        <w:rPr>
          <w:rFonts w:ascii="Times New Roman" w:eastAsia="Times New Roman" w:hAnsi="Times New Roman" w:cs="Times New Roman"/>
          <w:kern w:val="2"/>
          <w:sz w:val="26"/>
          <w:szCs w:val="26"/>
        </w:rPr>
        <w:t>Orbene</w:t>
      </w:r>
      <w:r w:rsidR="00E3450D">
        <w:rPr>
          <w:rFonts w:ascii="Times New Roman" w:eastAsia="Times New Roman" w:hAnsi="Times New Roman" w:cs="Times New Roman"/>
          <w:kern w:val="2"/>
          <w:sz w:val="26"/>
          <w:szCs w:val="26"/>
        </w:rPr>
        <w:t>,</w:t>
      </w:r>
      <w:r w:rsidRPr="00B37001">
        <w:rPr>
          <w:rFonts w:ascii="Times New Roman" w:eastAsia="Times New Roman" w:hAnsi="Times New Roman" w:cs="Times New Roman"/>
          <w:kern w:val="2"/>
          <w:sz w:val="26"/>
          <w:szCs w:val="26"/>
        </w:rPr>
        <w:t xml:space="preserve"> in questi casi la tesi favorevole alla legittimazione può trovare </w:t>
      </w:r>
      <w:r w:rsidRPr="00B37001">
        <w:rPr>
          <w:rFonts w:ascii="Times New Roman" w:eastAsia="Times New Roman" w:hAnsi="Times New Roman" w:cs="Times New Roman"/>
          <w:kern w:val="2"/>
          <w:sz w:val="26"/>
          <w:szCs w:val="26"/>
        </w:rPr>
        <w:lastRenderedPageBreak/>
        <w:t xml:space="preserve">fondamento anche nel </w:t>
      </w:r>
      <w:r w:rsidR="0087083F" w:rsidRPr="00E3450D">
        <w:rPr>
          <w:rFonts w:ascii="Times New Roman" w:eastAsia="Times New Roman" w:hAnsi="Times New Roman" w:cs="Times New Roman"/>
          <w:b/>
          <w:kern w:val="2"/>
          <w:sz w:val="26"/>
          <w:szCs w:val="26"/>
        </w:rPr>
        <w:t>principio comunitario di equivalenza dei rimedi</w:t>
      </w:r>
      <w:r w:rsidR="0087083F" w:rsidRPr="00B37001">
        <w:rPr>
          <w:rFonts w:ascii="Times New Roman" w:eastAsia="Times New Roman" w:hAnsi="Times New Roman" w:cs="Times New Roman"/>
          <w:kern w:val="2"/>
          <w:sz w:val="26"/>
          <w:szCs w:val="26"/>
        </w:rPr>
        <w:t>.</w:t>
      </w:r>
    </w:p>
    <w:p w:rsidR="0087083F" w:rsidRDefault="0087083F"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 xml:space="preserve">E’ noto che in base a tale principio (di derivazione giurisprudenziale e conseguente al principio di leale cooperazione tra gli stati dell’Unione) l’ordinamento interno non può approntare per la violazione di diritti a fondamento comunitario, sanzioni e rimedi (ivi compresi i rimedi processuali) di livello e efficacia inferiore rispetto a quelli approntati per la violazione di diritti </w:t>
      </w:r>
      <w:r w:rsidR="00B37001">
        <w:rPr>
          <w:rFonts w:ascii="Times New Roman" w:eastAsia="Times New Roman" w:hAnsi="Times New Roman" w:cs="Times New Roman"/>
          <w:kern w:val="2"/>
          <w:sz w:val="26"/>
          <w:szCs w:val="24"/>
        </w:rPr>
        <w:t xml:space="preserve">garantiti </w:t>
      </w:r>
      <w:r>
        <w:rPr>
          <w:rFonts w:ascii="Times New Roman" w:eastAsia="Times New Roman" w:hAnsi="Times New Roman" w:cs="Times New Roman"/>
          <w:kern w:val="2"/>
          <w:sz w:val="26"/>
          <w:szCs w:val="24"/>
        </w:rPr>
        <w:t>dall’ordinamento nazionale.</w:t>
      </w:r>
      <w:r>
        <w:rPr>
          <w:rFonts w:ascii="Times New Roman" w:eastAsia="Times New Roman" w:hAnsi="Times New Roman" w:cs="Times New Roman"/>
          <w:kern w:val="2"/>
          <w:sz w:val="26"/>
          <w:szCs w:val="24"/>
          <w:vertAlign w:val="superscript"/>
        </w:rPr>
        <w:footnoteReference w:id="9"/>
      </w:r>
    </w:p>
    <w:p w:rsidR="0087083F" w:rsidRDefault="0087083F"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 xml:space="preserve">Nel caso di </w:t>
      </w:r>
      <w:r w:rsidR="00B37001">
        <w:rPr>
          <w:rFonts w:ascii="Times New Roman" w:eastAsia="Times New Roman" w:hAnsi="Times New Roman" w:cs="Times New Roman"/>
          <w:kern w:val="2"/>
          <w:sz w:val="26"/>
          <w:szCs w:val="24"/>
        </w:rPr>
        <w:t xml:space="preserve">stranieri protetti dal diritto comunitario </w:t>
      </w:r>
      <w:r>
        <w:rPr>
          <w:rFonts w:ascii="Times New Roman" w:eastAsia="Times New Roman" w:hAnsi="Times New Roman" w:cs="Times New Roman"/>
          <w:kern w:val="2"/>
          <w:sz w:val="26"/>
          <w:szCs w:val="24"/>
        </w:rPr>
        <w:t xml:space="preserve">la dedotta discriminazione è su base nazionale, ma il principio di parità </w:t>
      </w:r>
      <w:r w:rsidR="00B37001">
        <w:rPr>
          <w:rFonts w:ascii="Times New Roman" w:eastAsia="Times New Roman" w:hAnsi="Times New Roman" w:cs="Times New Roman"/>
          <w:kern w:val="2"/>
          <w:sz w:val="26"/>
          <w:szCs w:val="24"/>
        </w:rPr>
        <w:t>trova fondamento in particolari disposizioni comunitarie (ad es. art. 11 direttiva 2003/109 o art. 12 direttiva 2011/98)</w:t>
      </w:r>
      <w:r>
        <w:rPr>
          <w:rFonts w:ascii="Times New Roman" w:eastAsia="Times New Roman" w:hAnsi="Times New Roman" w:cs="Times New Roman"/>
          <w:kern w:val="2"/>
          <w:sz w:val="26"/>
          <w:szCs w:val="24"/>
        </w:rPr>
        <w:t xml:space="preserve">; </w:t>
      </w:r>
      <w:r w:rsidR="00270303">
        <w:rPr>
          <w:rFonts w:ascii="Times New Roman" w:eastAsia="Times New Roman" w:hAnsi="Times New Roman" w:cs="Times New Roman"/>
          <w:kern w:val="2"/>
          <w:sz w:val="26"/>
          <w:szCs w:val="24"/>
        </w:rPr>
        <w:t xml:space="preserve">ciò che viene in questione dunque è </w:t>
      </w:r>
      <w:r>
        <w:rPr>
          <w:rFonts w:ascii="Times New Roman" w:eastAsia="Times New Roman" w:hAnsi="Times New Roman" w:cs="Times New Roman"/>
          <w:b/>
          <w:kern w:val="2"/>
          <w:sz w:val="26"/>
          <w:szCs w:val="24"/>
        </w:rPr>
        <w:t>un diritto a fondamento comunitario</w:t>
      </w:r>
      <w:r w:rsidR="00270303">
        <w:rPr>
          <w:rFonts w:ascii="Times New Roman" w:eastAsia="Times New Roman" w:hAnsi="Times New Roman" w:cs="Times New Roman"/>
          <w:b/>
          <w:kern w:val="2"/>
          <w:sz w:val="26"/>
          <w:szCs w:val="24"/>
        </w:rPr>
        <w:t>.</w:t>
      </w:r>
    </w:p>
    <w:p w:rsidR="0087083F" w:rsidRDefault="00E3450D"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P</w:t>
      </w:r>
      <w:r w:rsidR="0087083F">
        <w:rPr>
          <w:rFonts w:ascii="Times New Roman" w:eastAsia="Times New Roman" w:hAnsi="Times New Roman" w:cs="Times New Roman"/>
          <w:kern w:val="2"/>
          <w:sz w:val="26"/>
          <w:szCs w:val="24"/>
        </w:rPr>
        <w:t xml:space="preserve">er analoghe situazioni disciplinate </w:t>
      </w:r>
      <w:r w:rsidR="0087083F">
        <w:rPr>
          <w:rFonts w:ascii="Times New Roman" w:eastAsia="Times New Roman" w:hAnsi="Times New Roman" w:cs="Times New Roman"/>
          <w:b/>
          <w:kern w:val="2"/>
          <w:sz w:val="26"/>
          <w:szCs w:val="24"/>
        </w:rPr>
        <w:t>esclusivamente dal diritto interno</w:t>
      </w:r>
      <w:r w:rsidR="0087083F">
        <w:rPr>
          <w:rFonts w:ascii="Times New Roman" w:eastAsia="Times New Roman" w:hAnsi="Times New Roman" w:cs="Times New Roman"/>
          <w:kern w:val="2"/>
          <w:sz w:val="26"/>
          <w:szCs w:val="24"/>
        </w:rPr>
        <w:t xml:space="preserve"> (in particolare la discriminazione dello straniero-lavoratore “qualsiasi” di cui all’art. 43, lett. e; la discriminazione del disabile fuori dall’ambiente lavorativo di cui all’art. 1 L. 67/2006) </w:t>
      </w:r>
      <w:r w:rsidR="0087083F">
        <w:rPr>
          <w:rFonts w:ascii="Times New Roman" w:eastAsia="Times New Roman" w:hAnsi="Times New Roman" w:cs="Times New Roman"/>
          <w:b/>
          <w:kern w:val="2"/>
          <w:sz w:val="26"/>
          <w:szCs w:val="24"/>
        </w:rPr>
        <w:t>l’ordinamento disciplina il caso della discriminazione collettiva e attribuisce la legittimazione attiva a soggetti collettivi</w:t>
      </w:r>
      <w:r w:rsidR="0087083F">
        <w:rPr>
          <w:rFonts w:ascii="Times New Roman" w:eastAsia="Times New Roman" w:hAnsi="Times New Roman" w:cs="Times New Roman"/>
          <w:kern w:val="2"/>
          <w:sz w:val="26"/>
          <w:szCs w:val="24"/>
        </w:rPr>
        <w:t>.</w:t>
      </w:r>
    </w:p>
    <w:p w:rsidR="00270303" w:rsidRDefault="0087083F"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Il fatto dunque che i</w:t>
      </w:r>
      <w:r w:rsidR="00E3450D">
        <w:rPr>
          <w:rFonts w:ascii="Times New Roman" w:eastAsia="Times New Roman" w:hAnsi="Times New Roman" w:cs="Times New Roman"/>
          <w:kern w:val="2"/>
          <w:sz w:val="26"/>
          <w:szCs w:val="24"/>
        </w:rPr>
        <w:t xml:space="preserve"> soggetti</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disabili</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discriminati fuori dall’ambito lavorativo (situazione </w:t>
      </w:r>
      <w:r>
        <w:rPr>
          <w:rFonts w:ascii="Times New Roman" w:eastAsia="Times New Roman" w:hAnsi="Times New Roman" w:cs="Times New Roman"/>
          <w:b/>
          <w:kern w:val="2"/>
          <w:sz w:val="26"/>
          <w:szCs w:val="24"/>
        </w:rPr>
        <w:t>non</w:t>
      </w:r>
      <w:r>
        <w:rPr>
          <w:rFonts w:ascii="Times New Roman" w:eastAsia="Times New Roman" w:hAnsi="Times New Roman" w:cs="Times New Roman"/>
          <w:kern w:val="2"/>
          <w:sz w:val="26"/>
          <w:szCs w:val="24"/>
        </w:rPr>
        <w:t xml:space="preserve"> </w:t>
      </w:r>
      <w:r>
        <w:rPr>
          <w:rFonts w:ascii="Times New Roman" w:eastAsia="Times New Roman" w:hAnsi="Times New Roman" w:cs="Times New Roman"/>
          <w:b/>
          <w:kern w:val="2"/>
          <w:sz w:val="26"/>
          <w:szCs w:val="24"/>
        </w:rPr>
        <w:t>disciplinata</w:t>
      </w:r>
      <w:r>
        <w:rPr>
          <w:rFonts w:ascii="Times New Roman" w:eastAsia="Times New Roman" w:hAnsi="Times New Roman" w:cs="Times New Roman"/>
          <w:kern w:val="2"/>
          <w:sz w:val="26"/>
          <w:szCs w:val="24"/>
        </w:rPr>
        <w:t xml:space="preserve"> dal diritto comunitario) godano di una tutela processuale più intensa e incisiva di quella di cui godono i lungosoggiornanti </w:t>
      </w:r>
      <w:r w:rsidR="00270303">
        <w:rPr>
          <w:rFonts w:ascii="Times New Roman" w:eastAsia="Times New Roman" w:hAnsi="Times New Roman" w:cs="Times New Roman"/>
          <w:kern w:val="2"/>
          <w:sz w:val="26"/>
          <w:szCs w:val="24"/>
        </w:rPr>
        <w:t xml:space="preserve">o gli altri stranieri protetti dal diritto comunitario, </w:t>
      </w:r>
      <w:r>
        <w:rPr>
          <w:rFonts w:ascii="Times New Roman" w:eastAsia="Times New Roman" w:hAnsi="Times New Roman" w:cs="Times New Roman"/>
          <w:kern w:val="2"/>
          <w:sz w:val="26"/>
          <w:szCs w:val="24"/>
        </w:rPr>
        <w:t xml:space="preserve">collettivamente intesi (situazione </w:t>
      </w:r>
      <w:r>
        <w:rPr>
          <w:rFonts w:ascii="Times New Roman" w:eastAsia="Times New Roman" w:hAnsi="Times New Roman" w:cs="Times New Roman"/>
          <w:b/>
          <w:kern w:val="2"/>
          <w:sz w:val="26"/>
          <w:szCs w:val="24"/>
        </w:rPr>
        <w:t>disciplinata</w:t>
      </w:r>
      <w:r>
        <w:rPr>
          <w:rFonts w:ascii="Times New Roman" w:eastAsia="Times New Roman" w:hAnsi="Times New Roman" w:cs="Times New Roman"/>
          <w:kern w:val="2"/>
          <w:sz w:val="26"/>
          <w:szCs w:val="24"/>
        </w:rPr>
        <w:t xml:space="preserve"> dal diritto comunitario) </w:t>
      </w:r>
      <w:r w:rsidR="00270303">
        <w:rPr>
          <w:rFonts w:ascii="Times New Roman" w:eastAsia="Times New Roman" w:hAnsi="Times New Roman" w:cs="Times New Roman"/>
          <w:kern w:val="2"/>
          <w:sz w:val="26"/>
          <w:szCs w:val="24"/>
        </w:rPr>
        <w:t xml:space="preserve">sembra </w:t>
      </w:r>
      <w:r>
        <w:rPr>
          <w:rFonts w:ascii="Times New Roman" w:eastAsia="Times New Roman" w:hAnsi="Times New Roman" w:cs="Times New Roman"/>
          <w:kern w:val="2"/>
          <w:sz w:val="26"/>
          <w:szCs w:val="24"/>
        </w:rPr>
        <w:t xml:space="preserve">dunque </w:t>
      </w:r>
      <w:r w:rsidR="00270303">
        <w:rPr>
          <w:rFonts w:ascii="Times New Roman" w:eastAsia="Times New Roman" w:hAnsi="Times New Roman" w:cs="Times New Roman"/>
          <w:kern w:val="2"/>
          <w:sz w:val="26"/>
          <w:szCs w:val="24"/>
        </w:rPr>
        <w:t xml:space="preserve">violare </w:t>
      </w:r>
      <w:r>
        <w:rPr>
          <w:rFonts w:ascii="Times New Roman" w:eastAsia="Times New Roman" w:hAnsi="Times New Roman" w:cs="Times New Roman"/>
          <w:kern w:val="2"/>
          <w:sz w:val="26"/>
          <w:szCs w:val="24"/>
        </w:rPr>
        <w:t xml:space="preserve">il principio di equivalenza e impone una interpretazione comunitariamente conforme quale quella </w:t>
      </w:r>
      <w:r w:rsidR="00270303">
        <w:rPr>
          <w:rFonts w:ascii="Times New Roman" w:eastAsia="Times New Roman" w:hAnsi="Times New Roman" w:cs="Times New Roman"/>
          <w:kern w:val="2"/>
          <w:sz w:val="26"/>
          <w:szCs w:val="24"/>
        </w:rPr>
        <w:t xml:space="preserve">sopra </w:t>
      </w:r>
      <w:r w:rsidR="00E3450D">
        <w:rPr>
          <w:rFonts w:ascii="Times New Roman" w:eastAsia="Times New Roman" w:hAnsi="Times New Roman" w:cs="Times New Roman"/>
          <w:kern w:val="2"/>
          <w:sz w:val="26"/>
          <w:szCs w:val="24"/>
        </w:rPr>
        <w:t>indicata</w:t>
      </w:r>
      <w:r w:rsidR="00270303">
        <w:rPr>
          <w:rFonts w:ascii="Times New Roman" w:eastAsia="Times New Roman" w:hAnsi="Times New Roman" w:cs="Times New Roman"/>
          <w:kern w:val="2"/>
          <w:sz w:val="26"/>
          <w:szCs w:val="24"/>
        </w:rPr>
        <w:t xml:space="preserve">; o </w:t>
      </w:r>
      <w:r w:rsidR="00270303">
        <w:rPr>
          <w:rFonts w:ascii="Times New Roman" w:eastAsia="Times New Roman" w:hAnsi="Times New Roman" w:cs="Times New Roman"/>
          <w:kern w:val="2"/>
          <w:sz w:val="26"/>
          <w:szCs w:val="24"/>
        </w:rPr>
        <w:lastRenderedPageBreak/>
        <w:t>quantomeno la necessità di una questione pregiudiziale avanti la CGE al fine di valutare se la previsione di una tutela processuale più intensa per soggetti che godono del principio di parità in forza di norme nazionali e meno intensa per soggetti che godono del principio di parità in forza di norme comunitarie, non sia in contrasto con il principio di equivalenza.</w:t>
      </w:r>
    </w:p>
    <w:p w:rsidR="0087083F" w:rsidRPr="00270303" w:rsidRDefault="00E3450D" w:rsidP="00270303">
      <w:pPr>
        <w:widowControl w:val="0"/>
        <w:autoSpaceDE w:val="0"/>
        <w:autoSpaceDN w:val="0"/>
        <w:adjustRightInd w:val="0"/>
        <w:spacing w:after="0" w:line="360" w:lineRule="auto"/>
        <w:ind w:right="1700"/>
        <w:jc w:val="center"/>
        <w:rPr>
          <w:rFonts w:ascii="Times New Roman" w:eastAsia="Times New Roman" w:hAnsi="Times New Roman" w:cs="Times New Roman"/>
          <w:b/>
          <w:kern w:val="2"/>
          <w:sz w:val="26"/>
          <w:szCs w:val="24"/>
        </w:rPr>
      </w:pPr>
      <w:r>
        <w:rPr>
          <w:rFonts w:ascii="Times New Roman" w:eastAsia="Times New Roman" w:hAnsi="Times New Roman" w:cs="Times New Roman"/>
          <w:b/>
          <w:kern w:val="2"/>
          <w:sz w:val="26"/>
          <w:szCs w:val="24"/>
        </w:rPr>
        <w:t>***</w:t>
      </w:r>
    </w:p>
    <w:p w:rsidR="0087083F" w:rsidRDefault="0087083F"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6"/>
          <w:szCs w:val="24"/>
        </w:rPr>
        <w:t xml:space="preserve">Ove invece così non fosse, si porrebbe un rilevantissimo problema di costituzionalità dell’assetto normativo. Benché infatti la giurisprudenza della </w:t>
      </w:r>
      <w:r w:rsidR="00270303">
        <w:rPr>
          <w:rFonts w:ascii="Times New Roman" w:eastAsia="Times New Roman" w:hAnsi="Times New Roman" w:cs="Times New Roman"/>
          <w:kern w:val="2"/>
          <w:sz w:val="26"/>
          <w:szCs w:val="24"/>
        </w:rPr>
        <w:t xml:space="preserve">Suprema </w:t>
      </w:r>
      <w:r>
        <w:rPr>
          <w:rFonts w:ascii="Times New Roman" w:eastAsia="Times New Roman" w:hAnsi="Times New Roman" w:cs="Times New Roman"/>
          <w:kern w:val="2"/>
          <w:sz w:val="26"/>
          <w:szCs w:val="24"/>
        </w:rPr>
        <w:t>Corte sia propensa a lasciare al legislatore ampio margine di discrezionalità nelle scelte processuali, tuttavia è chiaro che anche tale discrezionalità incontra il limite della ragionevolezza ex art. 3 Cost.</w:t>
      </w:r>
    </w:p>
    <w:p w:rsidR="0087083F" w:rsidRDefault="0087083F" w:rsidP="0087083F">
      <w:pPr>
        <w:widowControl w:val="0"/>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Ebbene</w:t>
      </w:r>
      <w:r w:rsidR="00E3450D">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 xml:space="preserve"> </w:t>
      </w:r>
      <w:r w:rsidR="00270303">
        <w:rPr>
          <w:rFonts w:ascii="Times New Roman" w:eastAsia="Times New Roman" w:hAnsi="Times New Roman" w:cs="Times New Roman"/>
          <w:kern w:val="2"/>
          <w:sz w:val="26"/>
          <w:szCs w:val="24"/>
        </w:rPr>
        <w:t>negando</w:t>
      </w:r>
      <w:r w:rsidR="00E3450D">
        <w:rPr>
          <w:rFonts w:ascii="Times New Roman" w:eastAsia="Times New Roman" w:hAnsi="Times New Roman" w:cs="Times New Roman"/>
          <w:kern w:val="2"/>
          <w:sz w:val="26"/>
          <w:szCs w:val="24"/>
        </w:rPr>
        <w:t xml:space="preserve"> </w:t>
      </w:r>
      <w:r w:rsidR="00270303">
        <w:rPr>
          <w:rFonts w:ascii="Times New Roman" w:eastAsia="Times New Roman" w:hAnsi="Times New Roman" w:cs="Times New Roman"/>
          <w:kern w:val="2"/>
          <w:sz w:val="26"/>
          <w:szCs w:val="24"/>
        </w:rPr>
        <w:t>la legittimazione attiva ai soggetti collettivi</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si avrebbe che il legislatore, pu</w:t>
      </w:r>
      <w:r w:rsidR="001F2724">
        <w:rPr>
          <w:rFonts w:ascii="Times New Roman" w:eastAsia="Times New Roman" w:hAnsi="Times New Roman" w:cs="Times New Roman"/>
          <w:kern w:val="2"/>
          <w:sz w:val="26"/>
          <w:szCs w:val="24"/>
        </w:rPr>
        <w:t>r avendo individuato (in parte ‘</w:t>
      </w:r>
      <w:r>
        <w:rPr>
          <w:rFonts w:ascii="Times New Roman" w:eastAsia="Times New Roman" w:hAnsi="Times New Roman" w:cs="Times New Roman"/>
          <w:kern w:val="2"/>
          <w:sz w:val="26"/>
          <w:szCs w:val="24"/>
        </w:rPr>
        <w:t>spontaneamente</w:t>
      </w:r>
      <w:r w:rsidR="001F2724">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 xml:space="preserve">, in parte per obbligo comunitario) una serie di fattori vietati, avrebbe poi previsto </w:t>
      </w:r>
      <w:r>
        <w:rPr>
          <w:rFonts w:ascii="Times New Roman" w:eastAsia="Times New Roman" w:hAnsi="Times New Roman" w:cs="Times New Roman"/>
          <w:b/>
          <w:kern w:val="2"/>
          <w:sz w:val="26"/>
          <w:szCs w:val="24"/>
        </w:rPr>
        <w:t>per tutti i fattori</w:t>
      </w:r>
      <w:r>
        <w:rPr>
          <w:rFonts w:ascii="Times New Roman" w:eastAsia="Times New Roman" w:hAnsi="Times New Roman" w:cs="Times New Roman"/>
          <w:kern w:val="2"/>
          <w:sz w:val="26"/>
          <w:szCs w:val="24"/>
        </w:rPr>
        <w:t xml:space="preserve"> </w:t>
      </w:r>
      <w:r>
        <w:rPr>
          <w:rFonts w:ascii="Times New Roman" w:eastAsia="Times New Roman" w:hAnsi="Times New Roman" w:cs="Times New Roman"/>
          <w:b/>
          <w:kern w:val="2"/>
          <w:sz w:val="26"/>
          <w:szCs w:val="24"/>
        </w:rPr>
        <w:t>(salvo uno)</w:t>
      </w:r>
      <w:r>
        <w:rPr>
          <w:rFonts w:ascii="Times New Roman" w:eastAsia="Times New Roman" w:hAnsi="Times New Roman" w:cs="Times New Roman"/>
          <w:kern w:val="2"/>
          <w:sz w:val="26"/>
          <w:szCs w:val="24"/>
        </w:rPr>
        <w:t xml:space="preserve"> una tutela avverso le discriminazioni collettive e una legittimazione attiva dei soggetti collettivi. E infatti:</w:t>
      </w:r>
    </w:p>
    <w:p w:rsidR="0087083F" w:rsidRDefault="0087083F" w:rsidP="0087083F">
      <w:pPr>
        <w:widowControl w:val="0"/>
        <w:numPr>
          <w:ilvl w:val="0"/>
          <w:numId w:val="1"/>
        </w:numPr>
        <w:autoSpaceDE w:val="0"/>
        <w:autoSpaceDN w:val="0"/>
        <w:adjustRightInd w:val="0"/>
        <w:spacing w:after="0" w:line="360" w:lineRule="auto"/>
        <w:ind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 xml:space="preserve">per </w:t>
      </w:r>
      <w:r>
        <w:rPr>
          <w:rFonts w:ascii="Times New Roman" w:eastAsia="Times New Roman" w:hAnsi="Times New Roman" w:cs="Times New Roman"/>
          <w:b/>
          <w:kern w:val="2"/>
          <w:sz w:val="26"/>
          <w:szCs w:val="24"/>
        </w:rPr>
        <w:t>razza e origine etnica</w:t>
      </w:r>
      <w:r>
        <w:rPr>
          <w:rFonts w:ascii="Times New Roman" w:eastAsia="Times New Roman" w:hAnsi="Times New Roman" w:cs="Times New Roman"/>
          <w:kern w:val="2"/>
          <w:sz w:val="26"/>
          <w:szCs w:val="24"/>
        </w:rPr>
        <w:t xml:space="preserve"> la discriminazione collettiva è tutelata in tutti i campi di applicazione del divieto </w:t>
      </w:r>
      <w:r w:rsidR="00270303">
        <w:rPr>
          <w:rFonts w:ascii="Times New Roman" w:eastAsia="Times New Roman" w:hAnsi="Times New Roman" w:cs="Times New Roman"/>
          <w:kern w:val="2"/>
          <w:sz w:val="26"/>
          <w:szCs w:val="24"/>
        </w:rPr>
        <w:t>(lavoro, istruzione, servizi sociali, alloggio ecc.)</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e la legittimazione attiva è riconosciuta</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a enti e associazioni con il “filtro” del decreto ministeriale ex art. 5 D.lgs 215/03; </w:t>
      </w:r>
    </w:p>
    <w:p w:rsidR="0087083F" w:rsidRDefault="0087083F" w:rsidP="0087083F">
      <w:pPr>
        <w:widowControl w:val="0"/>
        <w:numPr>
          <w:ilvl w:val="0"/>
          <w:numId w:val="1"/>
        </w:numPr>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6"/>
          <w:szCs w:val="24"/>
        </w:rPr>
        <w:t xml:space="preserve">per il </w:t>
      </w:r>
      <w:r>
        <w:rPr>
          <w:rFonts w:ascii="Times New Roman" w:eastAsia="Times New Roman" w:hAnsi="Times New Roman" w:cs="Times New Roman"/>
          <w:b/>
          <w:kern w:val="2"/>
          <w:sz w:val="26"/>
          <w:szCs w:val="24"/>
        </w:rPr>
        <w:t>genere</w:t>
      </w:r>
      <w:r>
        <w:rPr>
          <w:rFonts w:ascii="Times New Roman" w:eastAsia="Times New Roman" w:hAnsi="Times New Roman" w:cs="Times New Roman"/>
          <w:kern w:val="2"/>
          <w:sz w:val="26"/>
          <w:szCs w:val="24"/>
        </w:rPr>
        <w:t xml:space="preserve"> </w:t>
      </w:r>
      <w:r>
        <w:rPr>
          <w:rFonts w:ascii="Times New Roman" w:eastAsia="Times New Roman" w:hAnsi="Times New Roman" w:cs="Times New Roman"/>
          <w:b/>
          <w:kern w:val="2"/>
          <w:sz w:val="26"/>
          <w:szCs w:val="24"/>
        </w:rPr>
        <w:t>nell’ambito lavorativo</w:t>
      </w:r>
      <w:r>
        <w:rPr>
          <w:rFonts w:ascii="Times New Roman" w:eastAsia="Times New Roman" w:hAnsi="Times New Roman" w:cs="Times New Roman"/>
          <w:kern w:val="2"/>
          <w:sz w:val="26"/>
          <w:szCs w:val="24"/>
        </w:rPr>
        <w:t xml:space="preserve"> la discriminazione collettiva è riconosciuta per tutti i casi rientranti in tale ambito e la legittimazione attiva è riconosciuta a un soggetto pubblico ad hoc (la Consigliera di parità) </w:t>
      </w:r>
      <w:r>
        <w:rPr>
          <w:rFonts w:ascii="Times New Roman" w:eastAsia="Times New Roman" w:hAnsi="Times New Roman" w:cs="Times New Roman"/>
          <w:b/>
          <w:kern w:val="2"/>
          <w:sz w:val="26"/>
          <w:szCs w:val="24"/>
        </w:rPr>
        <w:t>ex art. 37 Codice Pari Opportunità</w:t>
      </w:r>
      <w:r>
        <w:rPr>
          <w:rFonts w:ascii="Times New Roman" w:eastAsia="Times New Roman" w:hAnsi="Times New Roman" w:cs="Times New Roman"/>
          <w:kern w:val="2"/>
          <w:sz w:val="26"/>
          <w:szCs w:val="24"/>
        </w:rPr>
        <w:t xml:space="preserve"> (D.</w:t>
      </w:r>
      <w:r w:rsidR="005C4CF9">
        <w:rPr>
          <w:rFonts w:ascii="Times New Roman" w:eastAsia="Times New Roman" w:hAnsi="Times New Roman" w:cs="Times New Roman"/>
          <w:kern w:val="2"/>
          <w:sz w:val="26"/>
          <w:szCs w:val="24"/>
        </w:rPr>
        <w:t>l</w:t>
      </w:r>
      <w:r>
        <w:rPr>
          <w:rFonts w:ascii="Times New Roman" w:eastAsia="Times New Roman" w:hAnsi="Times New Roman" w:cs="Times New Roman"/>
          <w:kern w:val="2"/>
          <w:sz w:val="26"/>
          <w:szCs w:val="24"/>
        </w:rPr>
        <w:t xml:space="preserve">gs 198/06); </w:t>
      </w:r>
    </w:p>
    <w:p w:rsidR="0087083F" w:rsidRDefault="0087083F" w:rsidP="0087083F">
      <w:pPr>
        <w:widowControl w:val="0"/>
        <w:numPr>
          <w:ilvl w:val="0"/>
          <w:numId w:val="1"/>
        </w:numPr>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6"/>
          <w:szCs w:val="24"/>
        </w:rPr>
        <w:t xml:space="preserve">per il </w:t>
      </w:r>
      <w:r>
        <w:rPr>
          <w:rFonts w:ascii="Times New Roman" w:eastAsia="Times New Roman" w:hAnsi="Times New Roman" w:cs="Times New Roman"/>
          <w:b/>
          <w:kern w:val="2"/>
          <w:sz w:val="26"/>
          <w:szCs w:val="24"/>
        </w:rPr>
        <w:t>genere nell’ambito dell’accesso a beni e servizi</w:t>
      </w:r>
      <w:r>
        <w:rPr>
          <w:rFonts w:ascii="Times New Roman" w:eastAsia="Times New Roman" w:hAnsi="Times New Roman" w:cs="Times New Roman"/>
          <w:kern w:val="2"/>
          <w:sz w:val="26"/>
          <w:szCs w:val="24"/>
        </w:rPr>
        <w:t xml:space="preserve"> la discriminazione collettiva è riconosciuta per tutti i casi rientranti in tale ambito e la legittimazione attiva è riconosciuta a enti e associazioni con il “filtro” del decreto ministeriale </w:t>
      </w:r>
      <w:r w:rsidRPr="00270303">
        <w:rPr>
          <w:rFonts w:ascii="Times New Roman" w:eastAsia="Times New Roman" w:hAnsi="Times New Roman" w:cs="Times New Roman"/>
          <w:kern w:val="2"/>
          <w:sz w:val="26"/>
          <w:szCs w:val="24"/>
        </w:rPr>
        <w:t xml:space="preserve">ex art. </w:t>
      </w:r>
      <w:r w:rsidR="005C4CF9" w:rsidRPr="00270303">
        <w:rPr>
          <w:rFonts w:ascii="Times New Roman" w:eastAsia="Times New Roman" w:hAnsi="Times New Roman" w:cs="Times New Roman"/>
          <w:kern w:val="2"/>
          <w:sz w:val="26"/>
          <w:szCs w:val="24"/>
        </w:rPr>
        <w:t>55 septies Codi</w:t>
      </w:r>
      <w:r w:rsidR="005C4CF9">
        <w:rPr>
          <w:rFonts w:ascii="Times New Roman" w:eastAsia="Times New Roman" w:hAnsi="Times New Roman" w:cs="Times New Roman"/>
          <w:kern w:val="2"/>
          <w:sz w:val="26"/>
          <w:szCs w:val="24"/>
        </w:rPr>
        <w:t>ce Pari Opportunità (D.l</w:t>
      </w:r>
      <w:r w:rsidR="005C4CF9" w:rsidRPr="00270303">
        <w:rPr>
          <w:rFonts w:ascii="Times New Roman" w:eastAsia="Times New Roman" w:hAnsi="Times New Roman" w:cs="Times New Roman"/>
          <w:kern w:val="2"/>
          <w:sz w:val="26"/>
          <w:szCs w:val="24"/>
        </w:rPr>
        <w:t xml:space="preserve">gs 198/06) </w:t>
      </w:r>
    </w:p>
    <w:p w:rsidR="0087083F" w:rsidRDefault="0087083F" w:rsidP="0087083F">
      <w:pPr>
        <w:widowControl w:val="0"/>
        <w:numPr>
          <w:ilvl w:val="0"/>
          <w:numId w:val="1"/>
        </w:numPr>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6"/>
          <w:szCs w:val="24"/>
        </w:rPr>
        <w:t xml:space="preserve">per </w:t>
      </w:r>
      <w:r w:rsidR="00E3450D">
        <w:rPr>
          <w:rFonts w:ascii="Times New Roman" w:eastAsia="Times New Roman" w:hAnsi="Times New Roman" w:cs="Times New Roman"/>
          <w:b/>
          <w:kern w:val="2"/>
          <w:sz w:val="26"/>
          <w:szCs w:val="24"/>
        </w:rPr>
        <w:t>i fattori di cui al D. l</w:t>
      </w:r>
      <w:r>
        <w:rPr>
          <w:rFonts w:ascii="Times New Roman" w:eastAsia="Times New Roman" w:hAnsi="Times New Roman" w:cs="Times New Roman"/>
          <w:b/>
          <w:kern w:val="2"/>
          <w:sz w:val="26"/>
          <w:szCs w:val="24"/>
        </w:rPr>
        <w:t xml:space="preserve">gs 216/03 e per l’ambito ivi considerato </w:t>
      </w:r>
      <w:r>
        <w:rPr>
          <w:rFonts w:ascii="Times New Roman" w:eastAsia="Times New Roman" w:hAnsi="Times New Roman" w:cs="Times New Roman"/>
          <w:b/>
          <w:kern w:val="2"/>
          <w:sz w:val="26"/>
          <w:szCs w:val="24"/>
        </w:rPr>
        <w:lastRenderedPageBreak/>
        <w:t>(quello lavorativo)</w:t>
      </w:r>
      <w:r>
        <w:rPr>
          <w:rFonts w:ascii="Times New Roman" w:eastAsia="Times New Roman" w:hAnsi="Times New Roman" w:cs="Times New Roman"/>
          <w:kern w:val="2"/>
          <w:sz w:val="26"/>
          <w:szCs w:val="24"/>
        </w:rPr>
        <w:t xml:space="preserve"> la discriminazione collettiva è riconosciuta per tutti i casi rientranti in tale ambito e la legittimazione attiva è riconosciuta ( a seguito della procedura di infrazione ….che aveva considerato illegittima la precedente formulazione restrittiva) alle associazioni sindacali e a tutti “</w:t>
      </w:r>
      <w:r>
        <w:rPr>
          <w:rFonts w:ascii="Times New Roman" w:eastAsia="Times New Roman" w:hAnsi="Times New Roman" w:cs="Times New Roman"/>
          <w:b/>
          <w:i/>
          <w:kern w:val="2"/>
          <w:sz w:val="26"/>
          <w:szCs w:val="24"/>
        </w:rPr>
        <w:t>gli enti rappresentativi dell’interesse leso”</w:t>
      </w:r>
      <w:r>
        <w:rPr>
          <w:rFonts w:ascii="Times New Roman" w:eastAsia="Times New Roman" w:hAnsi="Times New Roman" w:cs="Times New Roman"/>
          <w:kern w:val="2"/>
          <w:sz w:val="26"/>
          <w:szCs w:val="24"/>
        </w:rPr>
        <w:t xml:space="preserve"> ;</w:t>
      </w:r>
    </w:p>
    <w:p w:rsidR="0087083F" w:rsidRPr="00270303" w:rsidRDefault="0087083F" w:rsidP="0087083F">
      <w:pPr>
        <w:widowControl w:val="0"/>
        <w:numPr>
          <w:ilvl w:val="0"/>
          <w:numId w:val="1"/>
        </w:numPr>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6"/>
          <w:szCs w:val="24"/>
        </w:rPr>
        <w:t xml:space="preserve">infine per il </w:t>
      </w:r>
      <w:r>
        <w:rPr>
          <w:rFonts w:ascii="Times New Roman" w:eastAsia="Times New Roman" w:hAnsi="Times New Roman" w:cs="Times New Roman"/>
          <w:b/>
          <w:kern w:val="2"/>
          <w:sz w:val="26"/>
          <w:szCs w:val="24"/>
        </w:rPr>
        <w:t>fattore disabilità fuori dall’ambito lavorativo</w:t>
      </w:r>
      <w:r>
        <w:rPr>
          <w:rFonts w:ascii="Times New Roman" w:eastAsia="Times New Roman" w:hAnsi="Times New Roman" w:cs="Times New Roman"/>
          <w:kern w:val="2"/>
          <w:sz w:val="26"/>
          <w:szCs w:val="24"/>
        </w:rPr>
        <w:t xml:space="preserve">, la discriminazione collettiva è riconosciuta e la legittimazione spetta a enti e associazioni con il filtro del decreto ministeriale </w:t>
      </w:r>
      <w:r>
        <w:rPr>
          <w:rFonts w:ascii="Times New Roman" w:eastAsia="Times New Roman" w:hAnsi="Times New Roman" w:cs="Times New Roman"/>
          <w:b/>
          <w:kern w:val="2"/>
          <w:sz w:val="26"/>
          <w:szCs w:val="24"/>
        </w:rPr>
        <w:t>ex art. 4 L. 67/06</w:t>
      </w:r>
      <w:r>
        <w:rPr>
          <w:rFonts w:ascii="Times New Roman" w:eastAsia="Times New Roman" w:hAnsi="Times New Roman" w:cs="Times New Roman"/>
          <w:kern w:val="2"/>
          <w:sz w:val="26"/>
          <w:szCs w:val="24"/>
        </w:rPr>
        <w:t>.</w:t>
      </w:r>
    </w:p>
    <w:p w:rsidR="00270303" w:rsidRDefault="00270303" w:rsidP="0087083F">
      <w:pPr>
        <w:widowControl w:val="0"/>
        <w:numPr>
          <w:ilvl w:val="0"/>
          <w:numId w:val="1"/>
        </w:numPr>
        <w:autoSpaceDE w:val="0"/>
        <w:autoSpaceDN w:val="0"/>
        <w:adjustRightInd w:val="0"/>
        <w:spacing w:after="0" w:line="360" w:lineRule="auto"/>
        <w:ind w:right="1700"/>
        <w:jc w:val="both"/>
        <w:rPr>
          <w:rFonts w:ascii="Times New Roman" w:eastAsia="Times New Roman" w:hAnsi="Times New Roman" w:cs="Times New Roman"/>
          <w:kern w:val="2"/>
          <w:sz w:val="24"/>
          <w:szCs w:val="24"/>
        </w:rPr>
      </w:pPr>
      <w:r>
        <w:rPr>
          <w:rFonts w:ascii="Times New Roman" w:eastAsia="Times New Roman" w:hAnsi="Times New Roman" w:cs="Times New Roman"/>
          <w:b/>
          <w:kern w:val="2"/>
          <w:sz w:val="26"/>
          <w:szCs w:val="24"/>
        </w:rPr>
        <w:t>S</w:t>
      </w:r>
      <w:r w:rsidRPr="00270303">
        <w:rPr>
          <w:rFonts w:ascii="Times New Roman" w:eastAsia="Times New Roman" w:hAnsi="Times New Roman" w:cs="Times New Roman"/>
          <w:b/>
          <w:kern w:val="2"/>
          <w:sz w:val="26"/>
          <w:szCs w:val="24"/>
        </w:rPr>
        <w:t>olo per il fattore nazionalità</w:t>
      </w:r>
      <w:r>
        <w:rPr>
          <w:rFonts w:ascii="Times New Roman" w:eastAsia="Times New Roman" w:hAnsi="Times New Roman" w:cs="Times New Roman"/>
          <w:kern w:val="2"/>
          <w:sz w:val="26"/>
          <w:szCs w:val="24"/>
        </w:rPr>
        <w:t xml:space="preserve">, si avrebbe una totale assenza di </w:t>
      </w:r>
      <w:r w:rsidR="00323888">
        <w:rPr>
          <w:rFonts w:ascii="Times New Roman" w:eastAsia="Times New Roman" w:hAnsi="Times New Roman" w:cs="Times New Roman"/>
          <w:kern w:val="2"/>
          <w:sz w:val="26"/>
          <w:szCs w:val="24"/>
        </w:rPr>
        <w:t xml:space="preserve">disciplina </w:t>
      </w:r>
      <w:r>
        <w:rPr>
          <w:rFonts w:ascii="Times New Roman" w:eastAsia="Times New Roman" w:hAnsi="Times New Roman" w:cs="Times New Roman"/>
          <w:kern w:val="2"/>
          <w:sz w:val="26"/>
          <w:szCs w:val="24"/>
        </w:rPr>
        <w:t>della discriminazione collettiva</w:t>
      </w:r>
      <w:r w:rsidR="00323888">
        <w:rPr>
          <w:rFonts w:ascii="Times New Roman" w:eastAsia="Times New Roman" w:hAnsi="Times New Roman" w:cs="Times New Roman"/>
          <w:kern w:val="2"/>
          <w:sz w:val="26"/>
          <w:szCs w:val="24"/>
        </w:rPr>
        <w:t>,</w:t>
      </w:r>
      <w:r>
        <w:rPr>
          <w:rFonts w:ascii="Times New Roman" w:eastAsia="Times New Roman" w:hAnsi="Times New Roman" w:cs="Times New Roman"/>
          <w:kern w:val="2"/>
          <w:sz w:val="26"/>
          <w:szCs w:val="24"/>
        </w:rPr>
        <w:t xml:space="preserve"> salvo che nell’ambito lavorativo ex art. 43 lett e) TU Immigrazione</w:t>
      </w:r>
      <w:r w:rsidR="00323888">
        <w:rPr>
          <w:rFonts w:ascii="Times New Roman" w:eastAsia="Times New Roman" w:hAnsi="Times New Roman" w:cs="Times New Roman"/>
          <w:kern w:val="2"/>
          <w:sz w:val="26"/>
          <w:szCs w:val="24"/>
        </w:rPr>
        <w:t>;</w:t>
      </w:r>
      <w:r w:rsidR="005C4CF9">
        <w:rPr>
          <w:rFonts w:ascii="Times New Roman" w:eastAsia="Times New Roman" w:hAnsi="Times New Roman" w:cs="Times New Roman"/>
          <w:kern w:val="2"/>
          <w:sz w:val="26"/>
          <w:szCs w:val="24"/>
        </w:rPr>
        <w:t xml:space="preserve"> </w:t>
      </w:r>
      <w:r w:rsidR="00323888">
        <w:rPr>
          <w:rFonts w:ascii="Times New Roman" w:eastAsia="Times New Roman" w:hAnsi="Times New Roman" w:cs="Times New Roman"/>
          <w:kern w:val="2"/>
          <w:sz w:val="26"/>
          <w:szCs w:val="24"/>
        </w:rPr>
        <w:t>una conseguente totale assenza</w:t>
      </w:r>
      <w:r w:rsidR="005C4CF9">
        <w:rPr>
          <w:rFonts w:ascii="Times New Roman" w:eastAsia="Times New Roman" w:hAnsi="Times New Roman" w:cs="Times New Roman"/>
          <w:kern w:val="2"/>
          <w:sz w:val="26"/>
          <w:szCs w:val="24"/>
        </w:rPr>
        <w:t xml:space="preserve"> </w:t>
      </w:r>
      <w:r w:rsidR="00323888">
        <w:rPr>
          <w:rFonts w:ascii="Times New Roman" w:eastAsia="Times New Roman" w:hAnsi="Times New Roman" w:cs="Times New Roman"/>
          <w:kern w:val="2"/>
          <w:sz w:val="26"/>
          <w:szCs w:val="24"/>
        </w:rPr>
        <w:t>di disciplina de</w:t>
      </w:r>
      <w:r w:rsidR="00E3450D">
        <w:rPr>
          <w:rFonts w:ascii="Times New Roman" w:eastAsia="Times New Roman" w:hAnsi="Times New Roman" w:cs="Times New Roman"/>
          <w:kern w:val="2"/>
          <w:sz w:val="26"/>
          <w:szCs w:val="24"/>
        </w:rPr>
        <w:t>gli enti collettivi; e, limita</w:t>
      </w:r>
      <w:r w:rsidR="00323888">
        <w:rPr>
          <w:rFonts w:ascii="Times New Roman" w:eastAsia="Times New Roman" w:hAnsi="Times New Roman" w:cs="Times New Roman"/>
          <w:kern w:val="2"/>
          <w:sz w:val="26"/>
          <w:szCs w:val="24"/>
        </w:rPr>
        <w:t>tamente al lavoro, una legittimazione attiva circoscritta alle OOSS “proporzionalmente più rappresentative” (requisito che, tra l’altro, non sussiste per le altre discriminazione con la demenziale conseguenza che, ad es. il COBAS potrebbe agire per le legittimazioni per orientamento sessuale, ma non per le discriminazioni dello straniero !!).</w:t>
      </w:r>
    </w:p>
    <w:p w:rsidR="0087083F" w:rsidRDefault="0087083F" w:rsidP="0087083F">
      <w:pPr>
        <w:widowControl w:val="0"/>
        <w:autoSpaceDE w:val="0"/>
        <w:autoSpaceDN w:val="0"/>
        <w:adjustRightInd w:val="0"/>
        <w:spacing w:after="0" w:line="360" w:lineRule="auto"/>
        <w:ind w:left="360"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Ebbene se l’ordinamento non considerasse accanto ai fattori vietati sin qui elencati, anche il fattore nazionalità, nulla si potrebbe eccepire (almeno dal punto di vista qui considerato).</w:t>
      </w:r>
    </w:p>
    <w:p w:rsidR="0087083F" w:rsidRDefault="0087083F" w:rsidP="0087083F">
      <w:pPr>
        <w:widowControl w:val="0"/>
        <w:autoSpaceDE w:val="0"/>
        <w:autoSpaceDN w:val="0"/>
        <w:adjustRightInd w:val="0"/>
        <w:spacing w:after="0" w:line="360" w:lineRule="auto"/>
        <w:ind w:left="360"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Ma poiché invece l’ordinamento</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xml:space="preserve">considera la nazionalità come fattore vietato e lo considera in tutti i campi della vita sociale analiticamente disciplinati (con limiti e precisazioni) dall’art. 43 TU immigrazione, allora non ha alcun senso che tale fattore non abbia una sua disciplina della discriminazione collettiva e non preveda una legittimazione attiva per soggetti collettivi (se non per le OOSS maggiormente rappresentative) al pari degli altri fattori e degli altri ambiti. </w:t>
      </w:r>
    </w:p>
    <w:p w:rsidR="0087083F" w:rsidRDefault="00270303" w:rsidP="0087083F">
      <w:pPr>
        <w:widowControl w:val="0"/>
        <w:autoSpaceDE w:val="0"/>
        <w:autoSpaceDN w:val="0"/>
        <w:adjustRightInd w:val="0"/>
        <w:spacing w:after="0" w:line="360" w:lineRule="auto"/>
        <w:ind w:left="360"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Se così fosse l’</w:t>
      </w:r>
      <w:r w:rsidR="0087083F">
        <w:rPr>
          <w:rFonts w:ascii="Times New Roman" w:eastAsia="Times New Roman" w:hAnsi="Times New Roman" w:cs="Times New Roman"/>
          <w:kern w:val="2"/>
          <w:sz w:val="26"/>
          <w:szCs w:val="24"/>
        </w:rPr>
        <w:t xml:space="preserve">assetto </w:t>
      </w:r>
      <w:r>
        <w:rPr>
          <w:rFonts w:ascii="Times New Roman" w:eastAsia="Times New Roman" w:hAnsi="Times New Roman" w:cs="Times New Roman"/>
          <w:kern w:val="2"/>
          <w:sz w:val="26"/>
          <w:szCs w:val="24"/>
        </w:rPr>
        <w:t xml:space="preserve">normativo sarebbe </w:t>
      </w:r>
      <w:r w:rsidR="0087083F">
        <w:rPr>
          <w:rFonts w:ascii="Times New Roman" w:eastAsia="Times New Roman" w:hAnsi="Times New Roman" w:cs="Times New Roman"/>
          <w:kern w:val="2"/>
          <w:sz w:val="26"/>
          <w:szCs w:val="24"/>
        </w:rPr>
        <w:t>palesemente irrazionale e fortemente</w:t>
      </w:r>
      <w:r w:rsidR="005C4CF9">
        <w:rPr>
          <w:rFonts w:ascii="Times New Roman" w:eastAsia="Times New Roman" w:hAnsi="Times New Roman" w:cs="Times New Roman"/>
          <w:kern w:val="2"/>
          <w:sz w:val="26"/>
          <w:szCs w:val="24"/>
        </w:rPr>
        <w:t xml:space="preserve"> </w:t>
      </w:r>
      <w:r w:rsidR="0087083F">
        <w:rPr>
          <w:rFonts w:ascii="Times New Roman" w:eastAsia="Times New Roman" w:hAnsi="Times New Roman" w:cs="Times New Roman"/>
          <w:kern w:val="2"/>
          <w:sz w:val="26"/>
          <w:szCs w:val="24"/>
        </w:rPr>
        <w:t xml:space="preserve">limitativo della tutela di diritti fondamentali: specialmente ove si consideri che </w:t>
      </w:r>
      <w:r w:rsidR="0087083F">
        <w:rPr>
          <w:rFonts w:ascii="Times New Roman" w:eastAsia="Times New Roman" w:hAnsi="Times New Roman" w:cs="Times New Roman"/>
          <w:b/>
          <w:kern w:val="2"/>
          <w:sz w:val="26"/>
          <w:szCs w:val="24"/>
        </w:rPr>
        <w:t>sia</w:t>
      </w:r>
      <w:r w:rsidR="0087083F">
        <w:rPr>
          <w:rFonts w:ascii="Times New Roman" w:eastAsia="Times New Roman" w:hAnsi="Times New Roman" w:cs="Times New Roman"/>
          <w:kern w:val="2"/>
          <w:sz w:val="26"/>
          <w:szCs w:val="24"/>
        </w:rPr>
        <w:t xml:space="preserve"> il rischio</w:t>
      </w:r>
      <w:r w:rsidR="005C4CF9">
        <w:rPr>
          <w:rFonts w:ascii="Times New Roman" w:eastAsia="Times New Roman" w:hAnsi="Times New Roman" w:cs="Times New Roman"/>
          <w:kern w:val="2"/>
          <w:sz w:val="26"/>
          <w:szCs w:val="24"/>
        </w:rPr>
        <w:t xml:space="preserve"> </w:t>
      </w:r>
      <w:r w:rsidR="0087083F">
        <w:rPr>
          <w:rFonts w:ascii="Times New Roman" w:eastAsia="Times New Roman" w:hAnsi="Times New Roman" w:cs="Times New Roman"/>
          <w:kern w:val="2"/>
          <w:sz w:val="26"/>
          <w:szCs w:val="24"/>
        </w:rPr>
        <w:t xml:space="preserve">di una esposizione diretta del </w:t>
      </w:r>
      <w:r w:rsidR="0087083F">
        <w:rPr>
          <w:rFonts w:ascii="Times New Roman" w:eastAsia="Times New Roman" w:hAnsi="Times New Roman" w:cs="Times New Roman"/>
          <w:kern w:val="2"/>
          <w:sz w:val="26"/>
          <w:szCs w:val="24"/>
        </w:rPr>
        <w:lastRenderedPageBreak/>
        <w:t xml:space="preserve">discriminato nella azione giudiziaria, </w:t>
      </w:r>
      <w:r w:rsidR="0087083F">
        <w:rPr>
          <w:rFonts w:ascii="Times New Roman" w:eastAsia="Times New Roman" w:hAnsi="Times New Roman" w:cs="Times New Roman"/>
          <w:b/>
          <w:kern w:val="2"/>
          <w:sz w:val="26"/>
          <w:szCs w:val="24"/>
        </w:rPr>
        <w:t>sia</w:t>
      </w:r>
      <w:r w:rsidR="0087083F">
        <w:rPr>
          <w:rFonts w:ascii="Times New Roman" w:eastAsia="Times New Roman" w:hAnsi="Times New Roman" w:cs="Times New Roman"/>
          <w:kern w:val="2"/>
          <w:sz w:val="26"/>
          <w:szCs w:val="24"/>
        </w:rPr>
        <w:t xml:space="preserve"> il rischio che proprio per la generalità della lesione nessuno si attivi </w:t>
      </w:r>
      <w:r w:rsidR="001F2724">
        <w:rPr>
          <w:rFonts w:ascii="Times New Roman" w:eastAsia="Times New Roman" w:hAnsi="Times New Roman" w:cs="Times New Roman"/>
          <w:kern w:val="2"/>
          <w:sz w:val="26"/>
          <w:szCs w:val="24"/>
        </w:rPr>
        <w:t>direttamente per la rimozione (</w:t>
      </w:r>
      <w:r w:rsidR="0087083F">
        <w:rPr>
          <w:rFonts w:ascii="Times New Roman" w:eastAsia="Times New Roman" w:hAnsi="Times New Roman" w:cs="Times New Roman"/>
          <w:kern w:val="2"/>
          <w:sz w:val="26"/>
          <w:szCs w:val="24"/>
        </w:rPr>
        <w:t>due rischi che la legittimazione di soggetti collettivi intende appunto prevenire) sono identici per tutti i fattori e dunque l’ordinamento non può irragionevolmente, dopo aver individuato l’insieme dei fattori per i quali le differenze di trattamento sono assistite dal divieto di discriminazione,</w:t>
      </w:r>
      <w:r w:rsidR="005C4CF9">
        <w:rPr>
          <w:rFonts w:ascii="Times New Roman" w:eastAsia="Times New Roman" w:hAnsi="Times New Roman" w:cs="Times New Roman"/>
          <w:kern w:val="2"/>
          <w:sz w:val="26"/>
          <w:szCs w:val="24"/>
        </w:rPr>
        <w:t xml:space="preserve"> </w:t>
      </w:r>
      <w:r w:rsidR="0087083F">
        <w:rPr>
          <w:rFonts w:ascii="Times New Roman" w:eastAsia="Times New Roman" w:hAnsi="Times New Roman" w:cs="Times New Roman"/>
          <w:b/>
          <w:kern w:val="2"/>
          <w:sz w:val="26"/>
          <w:szCs w:val="24"/>
        </w:rPr>
        <w:t>fornire una tutela ingiustificatamente differenziata.</w:t>
      </w:r>
      <w:r w:rsidR="0087083F">
        <w:rPr>
          <w:rFonts w:ascii="Times New Roman" w:eastAsia="Times New Roman" w:hAnsi="Times New Roman" w:cs="Times New Roman"/>
          <w:kern w:val="2"/>
          <w:sz w:val="26"/>
          <w:szCs w:val="24"/>
        </w:rPr>
        <w:t xml:space="preserve"> </w:t>
      </w:r>
    </w:p>
    <w:p w:rsidR="0087083F" w:rsidRDefault="0087083F" w:rsidP="0087083F">
      <w:pPr>
        <w:widowControl w:val="0"/>
        <w:autoSpaceDE w:val="0"/>
        <w:autoSpaceDN w:val="0"/>
        <w:adjustRightInd w:val="0"/>
        <w:spacing w:after="0" w:line="360" w:lineRule="auto"/>
        <w:ind w:left="360"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Le norme violate risulterebbero dunque l’art. 24 Cost. in relazione all’art. 3 Cost., nonché l’art. 117 Cost. in relazione agli artt. 6 e 14 CEDU (il diritto al giusto processo verrebbe garantito in maniera differenziata a seconda dei vari fattori indicati nell’art. 14). E’ tuttavia ovvio che, ove fosse possibile una lettura costituzionalmente conforme delle norme –</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e certamente lo è, per i motivi sopra esposti</w:t>
      </w:r>
      <w:r w:rsidR="005C4CF9">
        <w:rPr>
          <w:rFonts w:ascii="Times New Roman" w:eastAsia="Times New Roman" w:hAnsi="Times New Roman" w:cs="Times New Roman"/>
          <w:kern w:val="2"/>
          <w:sz w:val="26"/>
          <w:szCs w:val="24"/>
        </w:rPr>
        <w:t xml:space="preserve"> </w:t>
      </w:r>
      <w:r>
        <w:rPr>
          <w:rFonts w:ascii="Times New Roman" w:eastAsia="Times New Roman" w:hAnsi="Times New Roman" w:cs="Times New Roman"/>
          <w:kern w:val="2"/>
          <w:sz w:val="26"/>
          <w:szCs w:val="24"/>
        </w:rPr>
        <w:t>– verrebbe meno ogni necessità di remissione alla Corte.</w:t>
      </w:r>
    </w:p>
    <w:p w:rsidR="00323888" w:rsidRDefault="00323888" w:rsidP="0087083F">
      <w:pPr>
        <w:widowControl w:val="0"/>
        <w:autoSpaceDE w:val="0"/>
        <w:autoSpaceDN w:val="0"/>
        <w:adjustRightInd w:val="0"/>
        <w:spacing w:after="0" w:line="360" w:lineRule="auto"/>
        <w:ind w:left="360"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 xml:space="preserve">Resta solo da rilevare che tutta la cervellotica problematica sin </w:t>
      </w:r>
      <w:r w:rsidR="005C4CF9">
        <w:rPr>
          <w:rFonts w:ascii="Times New Roman" w:eastAsia="Times New Roman" w:hAnsi="Times New Roman" w:cs="Times New Roman"/>
          <w:kern w:val="2"/>
          <w:sz w:val="26"/>
          <w:szCs w:val="24"/>
        </w:rPr>
        <w:t>qui</w:t>
      </w:r>
      <w:r>
        <w:rPr>
          <w:rFonts w:ascii="Times New Roman" w:eastAsia="Times New Roman" w:hAnsi="Times New Roman" w:cs="Times New Roman"/>
          <w:kern w:val="2"/>
          <w:sz w:val="26"/>
          <w:szCs w:val="24"/>
        </w:rPr>
        <w:t xml:space="preserve"> descritta troverebbe soluzione in un piccolo comma che potrebbe agevolmente essere aggiunto in calce all’art. 4 </w:t>
      </w:r>
      <w:r w:rsidR="005C4CF9">
        <w:rPr>
          <w:rFonts w:ascii="Times New Roman" w:eastAsia="Times New Roman" w:hAnsi="Times New Roman" w:cs="Times New Roman"/>
          <w:kern w:val="2"/>
          <w:sz w:val="26"/>
          <w:szCs w:val="24"/>
        </w:rPr>
        <w:t>D.lg.</w:t>
      </w:r>
      <w:r>
        <w:rPr>
          <w:rFonts w:ascii="Times New Roman" w:eastAsia="Times New Roman" w:hAnsi="Times New Roman" w:cs="Times New Roman"/>
          <w:kern w:val="2"/>
          <w:sz w:val="26"/>
          <w:szCs w:val="24"/>
        </w:rPr>
        <w:t xml:space="preserve"> 215/03 (o in un articolo 1bis dell’art. </w:t>
      </w:r>
      <w:r w:rsidR="005C4CF9">
        <w:rPr>
          <w:rFonts w:ascii="Times New Roman" w:eastAsia="Times New Roman" w:hAnsi="Times New Roman" w:cs="Times New Roman"/>
          <w:kern w:val="2"/>
          <w:sz w:val="26"/>
          <w:szCs w:val="24"/>
        </w:rPr>
        <w:t>28  D.lgs. 150/11) e che potrebbe essere cosi formulato: “Gli enti e associazioni di cui all’art.5 D.lgs. 215/03 sono legittimati ad agire in giudizio, alle medesime condizioni ivi previste, anche in tutti i casi di discriminazione previsti dagli artt. 43 e 44 TU immigrazione”.</w:t>
      </w:r>
    </w:p>
    <w:p w:rsidR="00323888" w:rsidRDefault="00323888" w:rsidP="0087083F">
      <w:pPr>
        <w:widowControl w:val="0"/>
        <w:autoSpaceDE w:val="0"/>
        <w:autoSpaceDN w:val="0"/>
        <w:adjustRightInd w:val="0"/>
        <w:spacing w:after="0" w:line="360" w:lineRule="auto"/>
        <w:ind w:left="360"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Ma qui la palla passa al legislatore che, come noto, è sempre molto indaffarato……</w:t>
      </w:r>
    </w:p>
    <w:p w:rsidR="00323888" w:rsidRDefault="00323888" w:rsidP="0087083F">
      <w:pPr>
        <w:widowControl w:val="0"/>
        <w:autoSpaceDE w:val="0"/>
        <w:autoSpaceDN w:val="0"/>
        <w:adjustRightInd w:val="0"/>
        <w:spacing w:after="0" w:line="360" w:lineRule="auto"/>
        <w:ind w:left="360"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 xml:space="preserve">Milano 21 gennaio 2015 </w:t>
      </w:r>
    </w:p>
    <w:p w:rsidR="00323888" w:rsidRDefault="00323888" w:rsidP="0087083F">
      <w:pPr>
        <w:widowControl w:val="0"/>
        <w:autoSpaceDE w:val="0"/>
        <w:autoSpaceDN w:val="0"/>
        <w:adjustRightInd w:val="0"/>
        <w:spacing w:after="0" w:line="360" w:lineRule="auto"/>
        <w:ind w:left="360" w:right="1700"/>
        <w:jc w:val="both"/>
        <w:rPr>
          <w:rFonts w:ascii="Times New Roman" w:eastAsia="Times New Roman" w:hAnsi="Times New Roman" w:cs="Times New Roman"/>
          <w:kern w:val="2"/>
          <w:sz w:val="26"/>
          <w:szCs w:val="24"/>
        </w:rPr>
      </w:pPr>
      <w:r>
        <w:rPr>
          <w:rFonts w:ascii="Times New Roman" w:eastAsia="Times New Roman" w:hAnsi="Times New Roman" w:cs="Times New Roman"/>
          <w:kern w:val="2"/>
          <w:sz w:val="26"/>
          <w:szCs w:val="24"/>
        </w:rPr>
        <w:t>Alberto Guariso</w:t>
      </w:r>
      <w:r w:rsidR="005C4CF9">
        <w:rPr>
          <w:rFonts w:ascii="Times New Roman" w:eastAsia="Times New Roman" w:hAnsi="Times New Roman" w:cs="Times New Roman"/>
          <w:kern w:val="2"/>
          <w:sz w:val="26"/>
          <w:szCs w:val="24"/>
        </w:rPr>
        <w:t xml:space="preserve"> </w:t>
      </w:r>
    </w:p>
    <w:sectPr w:rsidR="0032388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2C9" w:rsidRDefault="009022C9" w:rsidP="0087083F">
      <w:pPr>
        <w:spacing w:after="0" w:line="240" w:lineRule="auto"/>
      </w:pPr>
      <w:r>
        <w:separator/>
      </w:r>
    </w:p>
  </w:endnote>
  <w:endnote w:type="continuationSeparator" w:id="0">
    <w:p w:rsidR="009022C9" w:rsidRDefault="009022C9" w:rsidP="00870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2C9" w:rsidRDefault="009022C9" w:rsidP="0087083F">
      <w:pPr>
        <w:spacing w:after="0" w:line="240" w:lineRule="auto"/>
      </w:pPr>
      <w:r>
        <w:separator/>
      </w:r>
    </w:p>
  </w:footnote>
  <w:footnote w:type="continuationSeparator" w:id="0">
    <w:p w:rsidR="009022C9" w:rsidRDefault="009022C9" w:rsidP="0087083F">
      <w:pPr>
        <w:spacing w:after="0" w:line="240" w:lineRule="auto"/>
      </w:pPr>
      <w:r>
        <w:continuationSeparator/>
      </w:r>
    </w:p>
  </w:footnote>
  <w:footnote w:id="1">
    <w:p w:rsidR="00CC392F" w:rsidRPr="00CC392F" w:rsidRDefault="00CC392F" w:rsidP="00CC3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240" w:lineRule="auto"/>
        <w:jc w:val="both"/>
        <w:rPr>
          <w:rFonts w:ascii="Times New Roman" w:hAnsi="Times New Roman" w:cs="Times New Roman"/>
        </w:rPr>
      </w:pPr>
      <w:r w:rsidRPr="00CC392F">
        <w:rPr>
          <w:rStyle w:val="Rimandonotaapidipagina"/>
          <w:rFonts w:ascii="Times New Roman" w:hAnsi="Times New Roman" w:cs="Times New Roman"/>
        </w:rPr>
        <w:footnoteRef/>
      </w:r>
      <w:r w:rsidRPr="00CC392F">
        <w:rPr>
          <w:rFonts w:ascii="Times New Roman" w:hAnsi="Times New Roman" w:cs="Times New Roman"/>
        </w:rPr>
        <w:t xml:space="preserve"> Il testo dell’art. 3, comma 2 D</w:t>
      </w:r>
      <w:r w:rsidR="00AC38D5">
        <w:rPr>
          <w:rFonts w:ascii="Times New Roman" w:hAnsi="Times New Roman" w:cs="Times New Roman"/>
        </w:rPr>
        <w:t>.</w:t>
      </w:r>
      <w:r w:rsidRPr="00CC392F">
        <w:rPr>
          <w:rFonts w:ascii="Times New Roman" w:hAnsi="Times New Roman" w:cs="Times New Roman"/>
        </w:rPr>
        <w:t>lgs 215/03</w:t>
      </w:r>
      <w:r w:rsidR="005C4CF9" w:rsidRPr="00CC392F">
        <w:rPr>
          <w:rFonts w:ascii="Times New Roman" w:hAnsi="Times New Roman" w:cs="Times New Roman"/>
        </w:rPr>
        <w:t>:</w:t>
      </w:r>
      <w:r w:rsidRPr="00CC392F">
        <w:rPr>
          <w:rFonts w:ascii="Times New Roman" w:hAnsi="Times New Roman" w:cs="Times New Roman"/>
        </w:rPr>
        <w:t xml:space="preserve"> </w:t>
      </w:r>
      <w:r w:rsidR="00B65553">
        <w:rPr>
          <w:rFonts w:ascii="Times New Roman" w:hAnsi="Times New Roman" w:cs="Times New Roman"/>
          <w:i/>
        </w:rPr>
        <w:t>“</w:t>
      </w:r>
      <w:r w:rsidRPr="00CC392F">
        <w:rPr>
          <w:rFonts w:ascii="Times New Roman" w:eastAsia="Times New Roman" w:hAnsi="Times New Roman" w:cs="Times New Roman"/>
          <w:i/>
          <w:color w:val="000000"/>
          <w:lang w:eastAsia="it-IT"/>
        </w:rPr>
        <w:t>Il</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presente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decreto legislativo non riguarda le differenze di trattament</w:t>
      </w:r>
      <w:r w:rsidR="00AC38D5">
        <w:rPr>
          <w:rFonts w:ascii="Times New Roman" w:eastAsia="Times New Roman" w:hAnsi="Times New Roman" w:cs="Times New Roman"/>
          <w:i/>
          <w:color w:val="000000"/>
          <w:lang w:eastAsia="it-IT"/>
        </w:rPr>
        <w:t>o</w:t>
      </w:r>
      <w:r w:rsidR="005C4CF9">
        <w:rPr>
          <w:rFonts w:ascii="Times New Roman" w:eastAsia="Times New Roman" w:hAnsi="Times New Roman" w:cs="Times New Roman"/>
          <w:i/>
          <w:color w:val="000000"/>
          <w:lang w:eastAsia="it-IT"/>
        </w:rPr>
        <w:t xml:space="preserve"> </w:t>
      </w:r>
      <w:r w:rsidR="00AC38D5">
        <w:rPr>
          <w:rFonts w:ascii="Times New Roman" w:eastAsia="Times New Roman" w:hAnsi="Times New Roman" w:cs="Times New Roman"/>
          <w:i/>
          <w:color w:val="000000"/>
          <w:lang w:eastAsia="it-IT"/>
        </w:rPr>
        <w:t>basate</w:t>
      </w:r>
      <w:r w:rsidR="005C4CF9">
        <w:rPr>
          <w:rFonts w:ascii="Times New Roman" w:eastAsia="Times New Roman" w:hAnsi="Times New Roman" w:cs="Times New Roman"/>
          <w:i/>
          <w:color w:val="000000"/>
          <w:lang w:eastAsia="it-IT"/>
        </w:rPr>
        <w:t xml:space="preserve"> </w:t>
      </w:r>
      <w:r w:rsidR="00AC38D5">
        <w:rPr>
          <w:rFonts w:ascii="Times New Roman" w:eastAsia="Times New Roman" w:hAnsi="Times New Roman" w:cs="Times New Roman"/>
          <w:i/>
          <w:color w:val="000000"/>
          <w:lang w:eastAsia="it-IT"/>
        </w:rPr>
        <w:t>sulla</w:t>
      </w:r>
      <w:r w:rsidR="005C4CF9">
        <w:rPr>
          <w:rFonts w:ascii="Times New Roman" w:eastAsia="Times New Roman" w:hAnsi="Times New Roman" w:cs="Times New Roman"/>
          <w:i/>
          <w:color w:val="000000"/>
          <w:lang w:eastAsia="it-IT"/>
        </w:rPr>
        <w:t xml:space="preserve"> </w:t>
      </w:r>
      <w:r w:rsidR="00AC38D5">
        <w:rPr>
          <w:rFonts w:ascii="Times New Roman" w:eastAsia="Times New Roman" w:hAnsi="Times New Roman" w:cs="Times New Roman"/>
          <w:i/>
          <w:color w:val="000000"/>
          <w:lang w:eastAsia="it-IT"/>
        </w:rPr>
        <w:t>nazionalià</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non</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pregiudica</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le disposizioni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nazionali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le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condizioni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relativ</w:t>
      </w:r>
      <w:r w:rsidR="00AC38D5">
        <w:rPr>
          <w:rFonts w:ascii="Times New Roman" w:eastAsia="Times New Roman" w:hAnsi="Times New Roman" w:cs="Times New Roman"/>
          <w:i/>
          <w:color w:val="000000"/>
          <w:lang w:eastAsia="it-IT"/>
        </w:rPr>
        <w:t>e all'ingresso, al soggiorno,</w:t>
      </w:r>
      <w:r w:rsidR="005C4CF9">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all'accesso</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all'occupazione,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all'assistenza</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alla previdenza</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dei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cittadini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dei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Paesi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terzi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degli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apolidi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nel territorio  dello  Stato, ne' qualsiasi trattamento, adottato in base alla</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legge,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derivante</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dalla</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condizione  giuridica</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dei</w:t>
      </w:r>
      <w:r w:rsidR="005C4CF9" w:rsidRPr="00CC392F">
        <w:rPr>
          <w:rFonts w:ascii="Times New Roman" w:eastAsia="Times New Roman" w:hAnsi="Times New Roman" w:cs="Times New Roman"/>
          <w:i/>
          <w:color w:val="000000"/>
          <w:lang w:eastAsia="it-IT"/>
        </w:rPr>
        <w:t xml:space="preserve"> </w:t>
      </w:r>
      <w:r w:rsidRPr="00CC392F">
        <w:rPr>
          <w:rFonts w:ascii="Times New Roman" w:eastAsia="Times New Roman" w:hAnsi="Times New Roman" w:cs="Times New Roman"/>
          <w:i/>
          <w:color w:val="000000"/>
          <w:lang w:eastAsia="it-IT"/>
        </w:rPr>
        <w:t>predetti soggetti</w:t>
      </w:r>
      <w:r>
        <w:rPr>
          <w:rFonts w:ascii="Times New Roman" w:eastAsia="Times New Roman" w:hAnsi="Times New Roman" w:cs="Times New Roman"/>
          <w:i/>
          <w:color w:val="000000"/>
          <w:lang w:eastAsia="it-IT"/>
        </w:rPr>
        <w:t>”</w:t>
      </w:r>
      <w:r w:rsidRPr="00CC392F">
        <w:rPr>
          <w:rFonts w:ascii="Times New Roman" w:eastAsia="Times New Roman" w:hAnsi="Times New Roman" w:cs="Times New Roman"/>
          <w:color w:val="000000"/>
          <w:lang w:eastAsia="it-IT"/>
        </w:rPr>
        <w:t xml:space="preserve">. </w:t>
      </w:r>
      <w:r>
        <w:rPr>
          <w:rFonts w:ascii="Times New Roman" w:eastAsia="Times New Roman" w:hAnsi="Times New Roman" w:cs="Times New Roman"/>
          <w:color w:val="000000"/>
          <w:lang w:eastAsia="it-IT"/>
        </w:rPr>
        <w:t xml:space="preserve"> </w:t>
      </w:r>
      <w:r w:rsidR="00AC38D5">
        <w:rPr>
          <w:rFonts w:ascii="Times New Roman" w:hAnsi="Times New Roman" w:cs="Times New Roman"/>
        </w:rPr>
        <w:t xml:space="preserve">La formulazione è, </w:t>
      </w:r>
      <w:r>
        <w:rPr>
          <w:rFonts w:ascii="Times New Roman" w:hAnsi="Times New Roman" w:cs="Times New Roman"/>
        </w:rPr>
        <w:t>quindi</w:t>
      </w:r>
      <w:r w:rsidR="00AC38D5">
        <w:rPr>
          <w:rFonts w:ascii="Times New Roman" w:hAnsi="Times New Roman" w:cs="Times New Roman"/>
        </w:rPr>
        <w:t>,</w:t>
      </w:r>
      <w:r>
        <w:rPr>
          <w:rFonts w:ascii="Times New Roman" w:hAnsi="Times New Roman" w:cs="Times New Roman"/>
        </w:rPr>
        <w:t xml:space="preserve"> ulteriormente restrittiva rispetto all</w:t>
      </w:r>
      <w:r w:rsidRPr="00CC392F">
        <w:rPr>
          <w:rFonts w:ascii="Times New Roman" w:hAnsi="Times New Roman" w:cs="Times New Roman"/>
        </w:rPr>
        <w:t xml:space="preserve">’art. 3, comma 2 della direttiva </w:t>
      </w:r>
      <w:r>
        <w:rPr>
          <w:rFonts w:ascii="Times New Roman" w:hAnsi="Times New Roman" w:cs="Times New Roman"/>
        </w:rPr>
        <w:t xml:space="preserve">2000/43 che </w:t>
      </w:r>
      <w:r w:rsidRPr="00CC392F">
        <w:rPr>
          <w:rFonts w:ascii="Times New Roman" w:hAnsi="Times New Roman" w:cs="Times New Roman"/>
        </w:rPr>
        <w:t xml:space="preserve">è il seguente: </w:t>
      </w:r>
      <w:r w:rsidRPr="00CC392F">
        <w:rPr>
          <w:rFonts w:ascii="Times New Roman" w:hAnsi="Times New Roman" w:cs="Times New Roman"/>
          <w:i/>
        </w:rPr>
        <w:t>“La presente direttiva non riguarda le differenze di trattamento basate sulla nazionalità e non pregiudica le disposizioni e le condizioni relative all'ingresso e alla residenza di cittadini di paesi terzi e di apolidi nel territorio degli Stati membri, né qualsiasi trattamento derivante dalla condizione giuridica dei cittadini dei paesi terzi o degli apolidi interessati”</w:t>
      </w:r>
      <w:r w:rsidRPr="00CC392F">
        <w:rPr>
          <w:rFonts w:ascii="Times New Roman" w:hAnsi="Times New Roman" w:cs="Times New Roman"/>
        </w:rPr>
        <w:t>.</w:t>
      </w:r>
    </w:p>
  </w:footnote>
  <w:footnote w:id="2">
    <w:p w:rsidR="008A5E79" w:rsidRPr="001F2724" w:rsidRDefault="008A5E79" w:rsidP="008A5E79">
      <w:pPr>
        <w:pStyle w:val="Predefinito"/>
        <w:jc w:val="both"/>
        <w:rPr>
          <w:color w:val="A5A5A5" w:themeColor="accent3"/>
          <w:sz w:val="22"/>
          <w:szCs w:val="22"/>
          <w:lang w:val="it-IT"/>
        </w:rPr>
      </w:pPr>
      <w:r>
        <w:rPr>
          <w:rStyle w:val="Rimandonotaapidipagina"/>
        </w:rPr>
        <w:footnoteRef/>
      </w:r>
      <w:r>
        <w:rPr>
          <w:rFonts w:hAnsi="SimSun"/>
          <w:i/>
          <w:position w:val="10"/>
          <w:sz w:val="22"/>
          <w:lang w:val="it-IT"/>
        </w:rPr>
        <w:t xml:space="preserve"> </w:t>
      </w:r>
      <w:r w:rsidR="005C4CF9" w:rsidRPr="00D42E60">
        <w:rPr>
          <w:rFonts w:hAnsi="SimSun"/>
          <w:sz w:val="22"/>
          <w:lang w:val="it-IT"/>
        </w:rPr>
        <w:t>Si vedano in particolare: Corte d</w:t>
      </w:r>
      <w:r w:rsidR="005C4CF9">
        <w:rPr>
          <w:rFonts w:hAnsi="SimSun"/>
          <w:sz w:val="22"/>
          <w:lang w:val="it-IT"/>
        </w:rPr>
        <w:t>'</w:t>
      </w:r>
      <w:r w:rsidR="005C4CF9" w:rsidRPr="00D42E60">
        <w:rPr>
          <w:rFonts w:hAnsi="SimSun"/>
          <w:sz w:val="22"/>
          <w:lang w:val="it-IT"/>
        </w:rPr>
        <w:t>Appello Brescia, pres. Galizzi, 21.10.2013 rel. Orlandini Baushi e Fondazione Guido Piccini c. Presidenza del consiglio di Ministri, Corte d</w:t>
      </w:r>
      <w:r w:rsidR="005C4CF9" w:rsidRPr="00D42E60">
        <w:rPr>
          <w:sz w:val="22"/>
          <w:lang w:val="it-IT"/>
        </w:rPr>
        <w:t>’</w:t>
      </w:r>
      <w:r w:rsidR="005C4CF9" w:rsidRPr="00D42E60">
        <w:rPr>
          <w:rFonts w:hAnsi="SimSun"/>
          <w:sz w:val="22"/>
          <w:lang w:val="it-IT"/>
        </w:rPr>
        <w:t>Appello Milano 22.3.2013, pres. Sbordone, rel. Vitali, Syed+ASGI+APN c. Ministero interno, in tema di ammissione degli stranieri al servizio civile degli stranieri; Corte d</w:t>
      </w:r>
      <w:r w:rsidR="005C4CF9" w:rsidRPr="00D42E60">
        <w:rPr>
          <w:sz w:val="22"/>
          <w:lang w:val="it-IT"/>
        </w:rPr>
        <w:t>’</w:t>
      </w:r>
      <w:r w:rsidR="005C4CF9" w:rsidRPr="00D42E60">
        <w:rPr>
          <w:rFonts w:hAnsi="SimSun"/>
          <w:sz w:val="22"/>
          <w:lang w:val="it-IT"/>
        </w:rPr>
        <w:t>Appello Brescia 12.3.2013, pres. rel. Galizzi, Comune di Chiari c. ASGI e Fondazione Piccini, 4.3.2010, est.</w:t>
      </w:r>
      <w:r w:rsidRPr="00D42E60">
        <w:rPr>
          <w:rFonts w:hAnsi="SimSun"/>
          <w:sz w:val="22"/>
          <w:lang w:val="it-IT"/>
        </w:rPr>
        <w:t xml:space="preserve"> Mangosi in giudizio avente ad oggetto esclusivamente la questione della legittimazione attiva; Trib. Brescia 10.1.2013 est. Alessio, Hossain+ altri, ASGI c. Comune di Brescia, in una causa avente ad oggetto la nota questione del </w:t>
      </w:r>
      <w:r w:rsidRPr="00D42E60">
        <w:rPr>
          <w:sz w:val="22"/>
          <w:lang w:val="it-IT"/>
        </w:rPr>
        <w:t>bonus bebè,</w:t>
      </w:r>
      <w:r w:rsidRPr="00D42E60">
        <w:rPr>
          <w:rFonts w:hAnsi="SimSun"/>
          <w:sz w:val="22"/>
          <w:lang w:val="it-IT"/>
        </w:rPr>
        <w:t xml:space="preserve"> che non solo ha riconosciuto la </w:t>
      </w:r>
      <w:r w:rsidRPr="001F2724">
        <w:rPr>
          <w:rFonts w:hAnsi="SimSun"/>
          <w:sz w:val="22"/>
          <w:szCs w:val="22"/>
          <w:lang w:val="it-IT"/>
        </w:rPr>
        <w:t xml:space="preserve">legittimazione attiva di ASGI ma ha anche riconosciuto alla stessa un cospicuo risarcimento del danno non patrimoniale da discriminazione, Trib. di Bergamo, sez. lavoro, 28 novembre 2009, est. Cassia, APN, ASGI, ANOLF c. Comune di Brignano Gera </w:t>
      </w:r>
      <w:r w:rsidR="005C4CF9" w:rsidRPr="001F2724">
        <w:rPr>
          <w:rFonts w:hAnsi="SimSun"/>
          <w:sz w:val="22"/>
          <w:szCs w:val="22"/>
          <w:lang w:val="it-IT"/>
        </w:rPr>
        <w:t>d'Adda</w:t>
      </w:r>
      <w:r w:rsidRPr="001F2724">
        <w:rPr>
          <w:rFonts w:hAnsi="SimSun"/>
          <w:sz w:val="22"/>
          <w:szCs w:val="22"/>
          <w:lang w:val="it-IT"/>
        </w:rPr>
        <w:t xml:space="preserve">, Trib. di Bergamo, Sez. Lavoro, 17 Maggio 2010 est. Cassia, ANOLF, ASGI C. Comune di Palazzago; Trib. di Milano, 1 agosto 2009, est. Gattari, APN, NAGA c. Provincia di Sondrio, Trib. Brescia, 19 gennaio 2010, est. Sampaolesi, ASGI e Fondazione Piccini c. Comune di Chiari; Trib. Brescia, 29 gennaio 2010, est. Busato, Diallo e altri, ASGI, Fondazione Guido Piccini c. Comune di Trenzano; Trib. Brescia, 9 aprile 2010, est. </w:t>
      </w:r>
      <w:r w:rsidR="005C4CF9" w:rsidRPr="001F2724">
        <w:rPr>
          <w:rFonts w:hAnsi="SimSun"/>
          <w:sz w:val="22"/>
          <w:szCs w:val="22"/>
          <w:lang w:val="it-IT"/>
        </w:rPr>
        <w:t>Massetti, ASGI e Fondazione Piccini c. Comune di Montichiari e Ministero dell'Interno; Trib. Milano, sez lav. 26 luglio 2010, est.</w:t>
      </w:r>
      <w:r w:rsidRPr="001F2724">
        <w:rPr>
          <w:rFonts w:hAnsi="SimSun"/>
          <w:sz w:val="22"/>
          <w:szCs w:val="22"/>
          <w:lang w:val="it-IT"/>
        </w:rPr>
        <w:t xml:space="preserve"> Sala, ASGI APN Farsi Prossimo ONLUS c. Comune di Tradate, Trib. Bergamo, 15 marzo 2011, est. Ippolito, Tahir, ANOLF e ASGI c. Comune di Poliscio</w:t>
      </w:r>
      <w:r w:rsidR="00D42E60" w:rsidRPr="001F2724">
        <w:rPr>
          <w:rFonts w:hAnsi="SimSun"/>
          <w:sz w:val="22"/>
          <w:szCs w:val="22"/>
          <w:lang w:val="it-IT"/>
        </w:rPr>
        <w:t xml:space="preserve"> espressamente sulla legittimazione</w:t>
      </w:r>
      <w:r w:rsidRPr="001F2724">
        <w:rPr>
          <w:rFonts w:hAnsi="SimSun"/>
          <w:sz w:val="22"/>
          <w:szCs w:val="22"/>
          <w:lang w:val="it-IT"/>
        </w:rPr>
        <w:t>; Trib. Milano, sez. I, 2 maggio 2011, est. Dorigo, APN, Farsi prossimo Onlus c. Comune di Gerenzano e Cristiano Borghi; Trib. Brescia, 12 giugno 2012, est d</w:t>
      </w:r>
      <w:r w:rsidRPr="001F2724">
        <w:rPr>
          <w:rFonts w:hAnsi="SimSun" w:hint="eastAsia"/>
          <w:sz w:val="22"/>
          <w:szCs w:val="22"/>
          <w:lang w:val="it-IT"/>
        </w:rPr>
        <w:t>’</w:t>
      </w:r>
      <w:r w:rsidRPr="001F2724">
        <w:rPr>
          <w:rFonts w:hAnsi="SimSun"/>
          <w:sz w:val="22"/>
          <w:szCs w:val="22"/>
          <w:lang w:val="it-IT"/>
        </w:rPr>
        <w:t>Ambrosio, ASGI e Fondazione Piccini c. Comune di Ghedi</w:t>
      </w:r>
      <w:r w:rsidR="00D42E60" w:rsidRPr="001F2724">
        <w:rPr>
          <w:rFonts w:hAnsi="SimSun"/>
          <w:sz w:val="22"/>
          <w:szCs w:val="22"/>
          <w:lang w:val="it-IT"/>
        </w:rPr>
        <w:t>, espressamente sulla legittimazione</w:t>
      </w:r>
      <w:r w:rsidRPr="001F2724">
        <w:rPr>
          <w:rFonts w:hAnsi="SimSun"/>
          <w:sz w:val="22"/>
          <w:szCs w:val="22"/>
          <w:lang w:val="it-IT"/>
        </w:rPr>
        <w:t xml:space="preserve">. </w:t>
      </w:r>
    </w:p>
  </w:footnote>
  <w:footnote w:id="3">
    <w:p w:rsidR="0087083F" w:rsidRPr="001F2724" w:rsidRDefault="0087083F" w:rsidP="0087083F">
      <w:pPr>
        <w:pStyle w:val="Predefinito"/>
        <w:tabs>
          <w:tab w:val="left" w:pos="284"/>
        </w:tabs>
        <w:jc w:val="both"/>
        <w:rPr>
          <w:sz w:val="22"/>
          <w:szCs w:val="22"/>
          <w:lang w:val="it-IT"/>
        </w:rPr>
      </w:pPr>
      <w:r w:rsidRPr="001F2724">
        <w:rPr>
          <w:rStyle w:val="Rimandonotaapidipagina"/>
          <w:sz w:val="22"/>
          <w:szCs w:val="22"/>
        </w:rPr>
        <w:footnoteRef/>
      </w:r>
      <w:r w:rsidRPr="001F2724">
        <w:rPr>
          <w:b/>
          <w:position w:val="8"/>
          <w:sz w:val="22"/>
          <w:szCs w:val="22"/>
          <w:lang w:val="it-IT"/>
        </w:rPr>
        <w:tab/>
      </w:r>
      <w:r w:rsidRPr="001F2724">
        <w:rPr>
          <w:rFonts w:hAnsi="SimSun"/>
          <w:sz w:val="22"/>
          <w:szCs w:val="22"/>
          <w:lang w:val="it-IT"/>
        </w:rPr>
        <w:t>In tal senso Trib. Brescia 13.6.</w:t>
      </w:r>
      <w:r w:rsidRPr="001F2724">
        <w:rPr>
          <w:sz w:val="22"/>
          <w:szCs w:val="22"/>
          <w:lang w:val="it-IT"/>
        </w:rPr>
        <w:t>2012 est D’Ambrosio in causa ASGI c. Comune di Ghedi; nello stesso senso Milano, ord. 9 febbraio 2010, pres. Vanoni est. Dorigo in causa ASGI +APN c. Provincia di Sondrio ove si legge: “</w:t>
      </w:r>
      <w:r w:rsidRPr="001F2724">
        <w:rPr>
          <w:i/>
          <w:sz w:val="22"/>
          <w:szCs w:val="22"/>
          <w:lang w:val="it-IT"/>
        </w:rPr>
        <w:t xml:space="preserve">la tutela certamente prevista contro le discriminazioni formalmente dettate da ragioni etniche, ma non solo, dovendosi comprendere nell’ambito della tutela anche </w:t>
      </w:r>
      <w:r w:rsidRPr="001F2724">
        <w:rPr>
          <w:b/>
          <w:i/>
          <w:sz w:val="22"/>
          <w:szCs w:val="22"/>
          <w:lang w:val="it-IT"/>
        </w:rPr>
        <w:t>le cd. discriminazioni indirette, ossia quelle attuate mediante l’adozione di criteri solo apparentemente neutri; non ¨¨ chi non veda come il criterio selettivo della cittadinanza</w:t>
      </w:r>
      <w:r w:rsidRPr="001F2724">
        <w:rPr>
          <w:i/>
          <w:sz w:val="22"/>
          <w:szCs w:val="22"/>
          <w:lang w:val="it-IT"/>
        </w:rPr>
        <w:t xml:space="preserve">, applicato in assenza dei presupposti legittimanti individuati dalla Corte Costituzionale, </w:t>
      </w:r>
      <w:r w:rsidRPr="001F2724">
        <w:rPr>
          <w:b/>
          <w:i/>
          <w:sz w:val="22"/>
          <w:szCs w:val="22"/>
          <w:lang w:val="it-IT"/>
        </w:rPr>
        <w:t>si traduca</w:t>
      </w:r>
      <w:r w:rsidR="005C4CF9" w:rsidRPr="001F2724">
        <w:rPr>
          <w:b/>
          <w:i/>
          <w:sz w:val="22"/>
          <w:szCs w:val="22"/>
          <w:lang w:val="it-IT"/>
        </w:rPr>
        <w:t>, di fatto,</w:t>
      </w:r>
      <w:r w:rsidRPr="001F2724">
        <w:rPr>
          <w:b/>
          <w:i/>
          <w:sz w:val="22"/>
          <w:szCs w:val="22"/>
          <w:lang w:val="it-IT"/>
        </w:rPr>
        <w:t xml:space="preserve"> in un fattore discriminante su basa etnica, razziale, stante la notoria appartenenza di un numero significativo di stranieri a etnie diverse da quella autoctona</w:t>
      </w:r>
      <w:r w:rsidRPr="001F2724">
        <w:rPr>
          <w:sz w:val="22"/>
          <w:szCs w:val="22"/>
          <w:lang w:val="it-IT"/>
        </w:rPr>
        <w:t>. Nello stesso senso Trib. Udine, 30.6.2010, est. Chiarelli B. c. Comune di Latisana, in Riv. Crit. Dir. Lav. 2010.</w:t>
      </w:r>
    </w:p>
  </w:footnote>
  <w:footnote w:id="4">
    <w:p w:rsidR="0087083F" w:rsidRPr="001F2724" w:rsidRDefault="0087083F" w:rsidP="0087083F">
      <w:pPr>
        <w:pStyle w:val="Predefinito"/>
        <w:tabs>
          <w:tab w:val="left" w:pos="284"/>
        </w:tabs>
        <w:jc w:val="both"/>
        <w:rPr>
          <w:sz w:val="22"/>
          <w:szCs w:val="22"/>
          <w:lang w:val="it-IT"/>
        </w:rPr>
      </w:pPr>
      <w:r w:rsidRPr="00FF2AB8">
        <w:rPr>
          <w:rStyle w:val="Rimandonotaapidipagina"/>
        </w:rPr>
        <w:footnoteRef/>
      </w:r>
      <w:r w:rsidRPr="00FF2AB8">
        <w:rPr>
          <w:position w:val="10"/>
          <w:lang w:val="it-IT"/>
        </w:rPr>
        <w:tab/>
      </w:r>
      <w:r w:rsidRPr="001F2724">
        <w:rPr>
          <w:sz w:val="22"/>
          <w:szCs w:val="22"/>
          <w:lang w:val="it-IT"/>
        </w:rPr>
        <w:t>Il termine “razza” è</w:t>
      </w:r>
      <w:r w:rsidR="005C4CF9" w:rsidRPr="001F2724">
        <w:rPr>
          <w:sz w:val="22"/>
          <w:szCs w:val="22"/>
          <w:lang w:val="it-IT"/>
        </w:rPr>
        <w:t>, infatti,</w:t>
      </w:r>
      <w:r w:rsidRPr="001F2724">
        <w:rPr>
          <w:sz w:val="22"/>
          <w:szCs w:val="22"/>
          <w:lang w:val="it-IT"/>
        </w:rPr>
        <w:t xml:space="preserve"> da intendersi nell’accezione utilizzata dalla direttiva 2000/43, che al considerando 6 sottolinea che </w:t>
      </w:r>
      <w:r w:rsidRPr="001F2724">
        <w:rPr>
          <w:i/>
          <w:sz w:val="22"/>
          <w:szCs w:val="22"/>
          <w:lang w:val="it-IT"/>
        </w:rPr>
        <w:t>“l’Unione respinge le teorie che tentano di dimostrare l’esistenza di razze umane distinte. L’uso del termine “razza” nella presente direttiva non implica l’accettazione di siffatte teorie</w:t>
      </w:r>
      <w:r w:rsidRPr="001F2724">
        <w:rPr>
          <w:sz w:val="22"/>
          <w:szCs w:val="22"/>
          <w:lang w:val="it-IT"/>
        </w:rPr>
        <w:t>”. Ne deriva che l’uso</w:t>
      </w:r>
      <w:r w:rsidRPr="001F2724">
        <w:rPr>
          <w:rFonts w:hAnsi="SimSun"/>
          <w:sz w:val="22"/>
          <w:szCs w:val="22"/>
          <w:lang w:val="it-IT"/>
        </w:rPr>
        <w:t xml:space="preserve"> di tale termine </w:t>
      </w:r>
      <w:r w:rsidRPr="001F2724">
        <w:rPr>
          <w:sz w:val="22"/>
          <w:szCs w:val="22"/>
          <w:lang w:val="it-IT"/>
        </w:rPr>
        <w:t>non è scientifico ma strumentale ad evitare l’emarginazione di gruppi esposti al rischio di essere considerati diversi secondo la cultura corrente, facendoli così rientrare nell’ambito di tutela della direttiva senza la necessità di dover indagare sulla loro appartenenza all’uno o all’altro gruppo etnico.</w:t>
      </w:r>
      <w:r w:rsidRPr="001F2724">
        <w:rPr>
          <w:rFonts w:hAnsi="SimSun"/>
          <w:sz w:val="22"/>
          <w:szCs w:val="22"/>
          <w:lang w:val="it-IT"/>
        </w:rPr>
        <w:t xml:space="preserve">  </w:t>
      </w:r>
    </w:p>
    <w:p w:rsidR="0087083F" w:rsidRPr="001F2724" w:rsidRDefault="0087083F" w:rsidP="0087083F">
      <w:pPr>
        <w:pStyle w:val="Predefinito"/>
        <w:rPr>
          <w:sz w:val="22"/>
          <w:szCs w:val="22"/>
          <w:lang w:val="it-IT"/>
        </w:rPr>
      </w:pPr>
    </w:p>
  </w:footnote>
  <w:footnote w:id="5">
    <w:p w:rsidR="00FF2AB8" w:rsidRPr="001F2724" w:rsidRDefault="00FF2AB8" w:rsidP="00FF2AB8">
      <w:pPr>
        <w:pStyle w:val="Testonotaapidipagina"/>
        <w:jc w:val="both"/>
        <w:rPr>
          <w:sz w:val="22"/>
          <w:szCs w:val="22"/>
          <w:lang w:val="it-IT"/>
        </w:rPr>
      </w:pPr>
      <w:r w:rsidRPr="001F2724">
        <w:rPr>
          <w:rStyle w:val="Rimandonotaapidipagina"/>
          <w:sz w:val="22"/>
          <w:szCs w:val="22"/>
        </w:rPr>
        <w:footnoteRef/>
      </w:r>
      <w:r w:rsidRPr="001F2724">
        <w:rPr>
          <w:sz w:val="22"/>
          <w:szCs w:val="22"/>
          <w:lang w:val="it-IT"/>
        </w:rPr>
        <w:t xml:space="preserve"> </w:t>
      </w:r>
      <w:r w:rsidRPr="001F2724">
        <w:rPr>
          <w:kern w:val="2"/>
          <w:sz w:val="22"/>
          <w:szCs w:val="22"/>
          <w:lang w:val="it-IT"/>
        </w:rPr>
        <w:t>Da questo punto di vista è paradossale</w:t>
      </w:r>
      <w:r w:rsidRPr="001F2724">
        <w:rPr>
          <w:b/>
          <w:kern w:val="2"/>
          <w:sz w:val="22"/>
          <w:szCs w:val="22"/>
          <w:lang w:val="it-IT"/>
        </w:rPr>
        <w:t xml:space="preserve"> </w:t>
      </w:r>
      <w:r w:rsidRPr="001F2724">
        <w:rPr>
          <w:kern w:val="2"/>
          <w:sz w:val="22"/>
          <w:szCs w:val="22"/>
          <w:lang w:val="it-IT"/>
        </w:rPr>
        <w:t>che proprio la “diversità” o “alterità” dello straniero in quanto tale, argomento tipico della cultura meno sensibile al tema della discriminazione, venga invece rimosso laddove accade che tale “alterità” god</w:t>
      </w:r>
      <w:r w:rsidR="00B325CF" w:rsidRPr="001F2724">
        <w:rPr>
          <w:kern w:val="2"/>
          <w:sz w:val="22"/>
          <w:szCs w:val="22"/>
          <w:lang w:val="it-IT"/>
        </w:rPr>
        <w:t>a per legge</w:t>
      </w:r>
      <w:r w:rsidR="00166D21" w:rsidRPr="001F2724">
        <w:rPr>
          <w:kern w:val="2"/>
          <w:sz w:val="22"/>
          <w:szCs w:val="22"/>
          <w:lang w:val="it-IT"/>
        </w:rPr>
        <w:t xml:space="preserve"> </w:t>
      </w:r>
      <w:r w:rsidRPr="001F2724">
        <w:rPr>
          <w:kern w:val="2"/>
          <w:sz w:val="22"/>
          <w:szCs w:val="22"/>
          <w:lang w:val="it-IT"/>
        </w:rPr>
        <w:t>di una tutela particolare</w:t>
      </w:r>
      <w:r w:rsidR="00B325CF" w:rsidRPr="001F2724">
        <w:rPr>
          <w:kern w:val="2"/>
          <w:sz w:val="22"/>
          <w:szCs w:val="22"/>
          <w:lang w:val="it-IT"/>
        </w:rPr>
        <w:t xml:space="preserve"> (per es,</w:t>
      </w:r>
      <w:r w:rsidR="005C4CF9" w:rsidRPr="001F2724">
        <w:rPr>
          <w:kern w:val="2"/>
          <w:sz w:val="22"/>
          <w:szCs w:val="22"/>
          <w:lang w:val="it-IT"/>
        </w:rPr>
        <w:t xml:space="preserve"> </w:t>
      </w:r>
      <w:r w:rsidR="00B325CF" w:rsidRPr="001F2724">
        <w:rPr>
          <w:kern w:val="2"/>
          <w:sz w:val="22"/>
          <w:szCs w:val="22"/>
          <w:lang w:val="it-IT"/>
        </w:rPr>
        <w:t>in questo caso processuale)</w:t>
      </w:r>
      <w:r w:rsidRPr="001F2724">
        <w:rPr>
          <w:kern w:val="2"/>
          <w:sz w:val="22"/>
          <w:szCs w:val="22"/>
          <w:lang w:val="it-IT"/>
        </w:rPr>
        <w:t>.</w:t>
      </w:r>
    </w:p>
  </w:footnote>
  <w:footnote w:id="6">
    <w:p w:rsidR="000B4B07" w:rsidRPr="000B4B07" w:rsidRDefault="000B4B07">
      <w:pPr>
        <w:pStyle w:val="Testonotaapidipagina"/>
        <w:rPr>
          <w:lang w:val="it-IT"/>
        </w:rPr>
      </w:pPr>
      <w:r w:rsidRPr="001F2724">
        <w:rPr>
          <w:rStyle w:val="Rimandonotaapidipagina"/>
          <w:sz w:val="22"/>
          <w:szCs w:val="22"/>
        </w:rPr>
        <w:footnoteRef/>
      </w:r>
      <w:r w:rsidR="00217DF7" w:rsidRPr="001F2724">
        <w:rPr>
          <w:sz w:val="22"/>
          <w:szCs w:val="22"/>
          <w:lang w:val="it-IT"/>
        </w:rPr>
        <w:t xml:space="preserve"> Il report è accessibile alla seguente pagina web:</w:t>
      </w:r>
      <w:r w:rsidRPr="001F2724">
        <w:rPr>
          <w:sz w:val="22"/>
          <w:szCs w:val="22"/>
          <w:lang w:val="it-IT"/>
        </w:rPr>
        <w:t xml:space="preserve"> </w:t>
      </w:r>
      <w:r w:rsidR="00217DF7" w:rsidRPr="001F2724">
        <w:rPr>
          <w:sz w:val="22"/>
          <w:szCs w:val="22"/>
          <w:lang w:val="it-IT"/>
        </w:rPr>
        <w:t>http://ec.europa.eu/justice/discrimination/files/com_2014_2_en.pdf</w:t>
      </w:r>
    </w:p>
  </w:footnote>
  <w:footnote w:id="7">
    <w:p w:rsidR="00B97877" w:rsidRPr="001F2724" w:rsidRDefault="00B97877" w:rsidP="008D2E50">
      <w:pPr>
        <w:pStyle w:val="Testonotaapidipagina"/>
        <w:jc w:val="both"/>
        <w:rPr>
          <w:sz w:val="22"/>
          <w:szCs w:val="22"/>
          <w:lang w:val="it-IT"/>
        </w:rPr>
      </w:pPr>
      <w:r>
        <w:rPr>
          <w:rStyle w:val="Rimandonotaapidipagina"/>
        </w:rPr>
        <w:footnoteRef/>
      </w:r>
      <w:r w:rsidRPr="00B97877">
        <w:rPr>
          <w:lang w:val="it-IT"/>
        </w:rPr>
        <w:t xml:space="preserve"> </w:t>
      </w:r>
      <w:r w:rsidRPr="001F2724">
        <w:rPr>
          <w:sz w:val="22"/>
          <w:szCs w:val="22"/>
          <w:lang w:val="it-IT"/>
        </w:rPr>
        <w:t>Quanto al fatto che origine nazionale o nazionalità siano nozioni sostanzialmente corrispondenti a quella di cittadinanza dovrebbero ormai sus</w:t>
      </w:r>
      <w:r w:rsidR="001F2724" w:rsidRPr="001F2724">
        <w:rPr>
          <w:sz w:val="22"/>
          <w:szCs w:val="22"/>
          <w:lang w:val="it-IT"/>
        </w:rPr>
        <w:t>sistere pochi dubbi sia perché ‘</w:t>
      </w:r>
      <w:r w:rsidRPr="001F2724">
        <w:rPr>
          <w:sz w:val="22"/>
          <w:szCs w:val="22"/>
          <w:lang w:val="it-IT"/>
        </w:rPr>
        <w:t>nazionalità</w:t>
      </w:r>
      <w:r w:rsidR="001F2724" w:rsidRPr="001F2724">
        <w:rPr>
          <w:sz w:val="22"/>
          <w:szCs w:val="22"/>
          <w:lang w:val="it-IT"/>
        </w:rPr>
        <w:t>’</w:t>
      </w:r>
      <w:r w:rsidRPr="001F2724">
        <w:rPr>
          <w:sz w:val="22"/>
          <w:szCs w:val="22"/>
          <w:lang w:val="it-IT"/>
        </w:rPr>
        <w:t xml:space="preserve"> è</w:t>
      </w:r>
      <w:r w:rsidR="00166D21" w:rsidRPr="001F2724">
        <w:rPr>
          <w:sz w:val="22"/>
          <w:szCs w:val="22"/>
          <w:lang w:val="it-IT"/>
        </w:rPr>
        <w:t xml:space="preserve"> </w:t>
      </w:r>
      <w:r w:rsidRPr="001F2724">
        <w:rPr>
          <w:sz w:val="22"/>
          <w:szCs w:val="22"/>
          <w:lang w:val="it-IT"/>
        </w:rPr>
        <w:t>il termine utilizzato dall’art. 18 TFUE (sulla base del quale la CGE ha sempre sanzionato le differenze tra cittadini di uno o dell’altro Stato membro) , sia perché la Corte Costituzionale ha dichiarato la incostituzionalità di numerose norme nazionali che discriminavano “lo straniero” sulla base dell’art. 117 Cost. in relazione all’art. 14 CEDU</w:t>
      </w:r>
      <w:r w:rsidR="00166D21" w:rsidRPr="001F2724">
        <w:rPr>
          <w:sz w:val="22"/>
          <w:szCs w:val="22"/>
          <w:lang w:val="it-IT"/>
        </w:rPr>
        <w:t xml:space="preserve"> </w:t>
      </w:r>
      <w:r w:rsidRPr="001F2724">
        <w:rPr>
          <w:sz w:val="22"/>
          <w:szCs w:val="22"/>
          <w:lang w:val="it-IT"/>
        </w:rPr>
        <w:t>che appunto utilizza il termine “origine nazionale” (si veda la serie di sentenze in materia di prestazione di invalidit</w:t>
      </w:r>
      <w:r w:rsidR="00930060" w:rsidRPr="001F2724">
        <w:rPr>
          <w:sz w:val="22"/>
          <w:szCs w:val="22"/>
          <w:lang w:val="it-IT"/>
        </w:rPr>
        <w:t xml:space="preserve">à per gli stranieri che va da 187/2010 alla 40/2013) </w:t>
      </w:r>
    </w:p>
  </w:footnote>
  <w:footnote w:id="8">
    <w:p w:rsidR="00C632F5" w:rsidRPr="001F2724" w:rsidRDefault="00C632F5" w:rsidP="00536F52">
      <w:pPr>
        <w:pStyle w:val="Testonotaapidipagina"/>
        <w:jc w:val="both"/>
        <w:rPr>
          <w:sz w:val="22"/>
          <w:szCs w:val="22"/>
          <w:lang w:val="it-IT"/>
        </w:rPr>
      </w:pPr>
      <w:r w:rsidRPr="00536F52">
        <w:rPr>
          <w:rStyle w:val="Rimandonotaapidipagina"/>
          <w:sz w:val="24"/>
          <w:szCs w:val="24"/>
        </w:rPr>
        <w:footnoteRef/>
      </w:r>
      <w:r w:rsidRPr="00536F52">
        <w:rPr>
          <w:sz w:val="24"/>
          <w:szCs w:val="24"/>
          <w:lang w:val="it-IT"/>
        </w:rPr>
        <w:t xml:space="preserve"> </w:t>
      </w:r>
      <w:r w:rsidRPr="001F2724">
        <w:rPr>
          <w:sz w:val="22"/>
          <w:szCs w:val="22"/>
          <w:lang w:val="it-IT"/>
        </w:rPr>
        <w:t>Per un caso italiano si veda Trib.</w:t>
      </w:r>
      <w:r w:rsidR="006B31F0" w:rsidRPr="001F2724">
        <w:rPr>
          <w:sz w:val="22"/>
          <w:szCs w:val="22"/>
          <w:lang w:val="it-IT"/>
        </w:rPr>
        <w:t xml:space="preserve"> </w:t>
      </w:r>
      <w:r w:rsidRPr="001F2724">
        <w:rPr>
          <w:sz w:val="22"/>
          <w:szCs w:val="22"/>
          <w:lang w:val="it-IT"/>
        </w:rPr>
        <w:t xml:space="preserve">Bergamo, est. </w:t>
      </w:r>
      <w:r w:rsidR="00166D21" w:rsidRPr="001F2724">
        <w:rPr>
          <w:sz w:val="22"/>
          <w:szCs w:val="22"/>
          <w:lang w:val="it-IT"/>
        </w:rPr>
        <w:t>Bertoncini…Associazione rete Lenford contro Taormina, in un caso nella quale un noto avvocato aveva dichiarato a una trasmissione radiofonica che non avrebbe assunto collaboratori omosessuali.</w:t>
      </w:r>
    </w:p>
  </w:footnote>
  <w:footnote w:id="9">
    <w:p w:rsidR="0087083F" w:rsidRPr="001F2724" w:rsidRDefault="0087083F" w:rsidP="001F2724">
      <w:pPr>
        <w:autoSpaceDE w:val="0"/>
        <w:autoSpaceDN w:val="0"/>
        <w:adjustRightInd w:val="0"/>
        <w:jc w:val="both"/>
        <w:rPr>
          <w:rFonts w:ascii="Times New Roman" w:hAnsi="Times New Roman" w:cs="Times New Roman"/>
          <w:b/>
          <w:lang w:eastAsia="it-IT"/>
        </w:rPr>
      </w:pPr>
      <w:r>
        <w:rPr>
          <w:rStyle w:val="Rimandonotaapidipagina"/>
        </w:rPr>
        <w:footnoteRef/>
      </w:r>
      <w:r>
        <w:t xml:space="preserve">  </w:t>
      </w:r>
      <w:r w:rsidRPr="001F2724">
        <w:rPr>
          <w:rFonts w:ascii="Times New Roman" w:hAnsi="Times New Roman" w:cs="Times New Roman"/>
        </w:rPr>
        <w:t>La prima pronuncia in proposito è la sentenza Rewe, 16.12.76 in causa C-33/76 ove, con riferimento a un problema strettamente processuale del tutto analogo a quello della legittimazione attiva,</w:t>
      </w:r>
      <w:r w:rsidR="00166D21" w:rsidRPr="001F2724">
        <w:rPr>
          <w:rFonts w:ascii="Times New Roman" w:hAnsi="Times New Roman" w:cs="Times New Roman"/>
        </w:rPr>
        <w:t xml:space="preserve"> </w:t>
      </w:r>
      <w:r w:rsidRPr="001F2724">
        <w:rPr>
          <w:rFonts w:ascii="Times New Roman" w:hAnsi="Times New Roman" w:cs="Times New Roman"/>
        </w:rPr>
        <w:t>si afferma “</w:t>
      </w:r>
      <w:r w:rsidRPr="001F2724">
        <w:rPr>
          <w:rFonts w:ascii="Times New Roman" w:hAnsi="Times New Roman" w:cs="Times New Roman"/>
          <w:lang w:eastAsia="it-IT"/>
        </w:rPr>
        <w:t xml:space="preserve"> </w:t>
      </w:r>
      <w:r w:rsidRPr="001F2724">
        <w:rPr>
          <w:rFonts w:ascii="Times New Roman" w:hAnsi="Times New Roman" w:cs="Times New Roman"/>
          <w:i/>
          <w:lang w:eastAsia="it-IT"/>
        </w:rPr>
        <w:t xml:space="preserve">in mancanza di una specifica disciplina comunitaria, è l'ordinamento giuridico interno di ciascuno Stato membro che designa il giudice competente e stabilisce le modalità procedurali delle azioni giudiziali intese a garantire la tutela dei diritti spettanti ai singoli in forza delle norme comunitarie aventi efficacia diretta, </w:t>
      </w:r>
      <w:r w:rsidRPr="001F2724">
        <w:rPr>
          <w:rFonts w:ascii="Times New Roman" w:hAnsi="Times New Roman" w:cs="Times New Roman"/>
          <w:b/>
          <w:i/>
          <w:lang w:eastAsia="it-IT"/>
        </w:rPr>
        <w:t>modalità che non possono, beninteso, essere meno favorevoli di quelle relative ad analoghe azioni del sistema processuale nazionale”.</w:t>
      </w:r>
    </w:p>
    <w:p w:rsidR="0087083F" w:rsidRDefault="0087083F" w:rsidP="001F2724">
      <w:pPr>
        <w:pStyle w:val="Testonotaapidipagina"/>
        <w:jc w:val="both"/>
        <w:rPr>
          <w:sz w:val="24"/>
          <w:szCs w:val="24"/>
          <w:lang w:val="it-IT"/>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086C"/>
    <w:multiLevelType w:val="hybridMultilevel"/>
    <w:tmpl w:val="3F920EE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6EE5DF1"/>
    <w:multiLevelType w:val="hybridMultilevel"/>
    <w:tmpl w:val="D8B2DAB2"/>
    <w:lvl w:ilvl="0" w:tplc="ACD2A93C">
      <w:start w:val="2"/>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83F"/>
    <w:rsid w:val="00014838"/>
    <w:rsid w:val="00047B44"/>
    <w:rsid w:val="000B4B07"/>
    <w:rsid w:val="000D3B8B"/>
    <w:rsid w:val="00100C24"/>
    <w:rsid w:val="001144C1"/>
    <w:rsid w:val="00152572"/>
    <w:rsid w:val="00166D21"/>
    <w:rsid w:val="001B089C"/>
    <w:rsid w:val="001F2724"/>
    <w:rsid w:val="00217DF7"/>
    <w:rsid w:val="00270303"/>
    <w:rsid w:val="00320815"/>
    <w:rsid w:val="00323888"/>
    <w:rsid w:val="003266D6"/>
    <w:rsid w:val="003E293B"/>
    <w:rsid w:val="004661FA"/>
    <w:rsid w:val="00536F52"/>
    <w:rsid w:val="005C4CF9"/>
    <w:rsid w:val="005D00D9"/>
    <w:rsid w:val="00651CC5"/>
    <w:rsid w:val="006A6BD4"/>
    <w:rsid w:val="006B31F0"/>
    <w:rsid w:val="007A2793"/>
    <w:rsid w:val="007A7248"/>
    <w:rsid w:val="00826E91"/>
    <w:rsid w:val="0087083F"/>
    <w:rsid w:val="00891538"/>
    <w:rsid w:val="008A5E79"/>
    <w:rsid w:val="008D2E50"/>
    <w:rsid w:val="009022C9"/>
    <w:rsid w:val="00930060"/>
    <w:rsid w:val="00A14AE4"/>
    <w:rsid w:val="00AA3631"/>
    <w:rsid w:val="00AC38D5"/>
    <w:rsid w:val="00B325CF"/>
    <w:rsid w:val="00B37001"/>
    <w:rsid w:val="00B65553"/>
    <w:rsid w:val="00B90A20"/>
    <w:rsid w:val="00B97877"/>
    <w:rsid w:val="00BC3C9F"/>
    <w:rsid w:val="00C632F5"/>
    <w:rsid w:val="00CC392F"/>
    <w:rsid w:val="00CD72D8"/>
    <w:rsid w:val="00CF5C08"/>
    <w:rsid w:val="00D42E60"/>
    <w:rsid w:val="00E3450D"/>
    <w:rsid w:val="00E54738"/>
    <w:rsid w:val="00F428FE"/>
    <w:rsid w:val="00F531F9"/>
    <w:rsid w:val="00F8009C"/>
    <w:rsid w:val="00FF2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7083F"/>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unhideWhenUsed/>
    <w:rsid w:val="0087083F"/>
    <w:pPr>
      <w:spacing w:after="0" w:line="240" w:lineRule="auto"/>
    </w:pPr>
    <w:rPr>
      <w:rFonts w:ascii="Times New Roman" w:eastAsia="Times New Roman" w:hAnsi="Times New Roman" w:cs="Times New Roman"/>
      <w:sz w:val="20"/>
      <w:szCs w:val="20"/>
      <w:lang w:val="en-US"/>
    </w:rPr>
  </w:style>
  <w:style w:type="character" w:customStyle="1" w:styleId="TestonotaapidipaginaCarattere">
    <w:name w:val="Testo nota a piè di pagina Carattere"/>
    <w:basedOn w:val="Carpredefinitoparagrafo"/>
    <w:link w:val="Testonotaapidipagina"/>
    <w:semiHidden/>
    <w:rsid w:val="0087083F"/>
    <w:rPr>
      <w:rFonts w:ascii="Times New Roman" w:eastAsia="Times New Roman" w:hAnsi="Times New Roman" w:cs="Times New Roman"/>
      <w:sz w:val="20"/>
      <w:szCs w:val="20"/>
      <w:lang w:val="en-US"/>
    </w:rPr>
  </w:style>
  <w:style w:type="paragraph" w:customStyle="1" w:styleId="Predefinito">
    <w:name w:val="Predefinito"/>
    <w:rsid w:val="0087083F"/>
    <w:pPr>
      <w:widowControl w:val="0"/>
      <w:autoSpaceDE w:val="0"/>
      <w:autoSpaceDN w:val="0"/>
      <w:adjustRightInd w:val="0"/>
      <w:spacing w:after="0" w:line="240" w:lineRule="auto"/>
    </w:pPr>
    <w:rPr>
      <w:rFonts w:ascii="Times New Roman" w:eastAsia="Times New Roman" w:hAnsi="Times New Roman" w:cs="Times New Roman"/>
      <w:kern w:val="2"/>
      <w:sz w:val="24"/>
      <w:szCs w:val="24"/>
      <w:lang w:val="en-US"/>
    </w:rPr>
  </w:style>
  <w:style w:type="character" w:styleId="Rimandonotaapidipagina">
    <w:name w:val="footnote reference"/>
    <w:uiPriority w:val="99"/>
    <w:semiHidden/>
    <w:unhideWhenUsed/>
    <w:rsid w:val="0087083F"/>
    <w:rPr>
      <w:vertAlign w:val="superscript"/>
    </w:rPr>
  </w:style>
  <w:style w:type="character" w:styleId="Rimandocommento">
    <w:name w:val="annotation reference"/>
    <w:basedOn w:val="Carpredefinitoparagrafo"/>
    <w:uiPriority w:val="99"/>
    <w:semiHidden/>
    <w:unhideWhenUsed/>
    <w:rsid w:val="00AC38D5"/>
    <w:rPr>
      <w:sz w:val="16"/>
      <w:szCs w:val="16"/>
    </w:rPr>
  </w:style>
  <w:style w:type="paragraph" w:styleId="Testocommento">
    <w:name w:val="annotation text"/>
    <w:basedOn w:val="Normale"/>
    <w:link w:val="TestocommentoCarattere"/>
    <w:uiPriority w:val="99"/>
    <w:semiHidden/>
    <w:unhideWhenUsed/>
    <w:rsid w:val="00AC38D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C38D5"/>
    <w:rPr>
      <w:sz w:val="20"/>
      <w:szCs w:val="20"/>
    </w:rPr>
  </w:style>
  <w:style w:type="paragraph" w:styleId="Soggettocommento">
    <w:name w:val="annotation subject"/>
    <w:basedOn w:val="Testocommento"/>
    <w:next w:val="Testocommento"/>
    <w:link w:val="SoggettocommentoCarattere"/>
    <w:uiPriority w:val="99"/>
    <w:semiHidden/>
    <w:unhideWhenUsed/>
    <w:rsid w:val="00AC38D5"/>
    <w:rPr>
      <w:b/>
      <w:bCs/>
    </w:rPr>
  </w:style>
  <w:style w:type="character" w:customStyle="1" w:styleId="SoggettocommentoCarattere">
    <w:name w:val="Soggetto commento Carattere"/>
    <w:basedOn w:val="TestocommentoCarattere"/>
    <w:link w:val="Soggettocommento"/>
    <w:uiPriority w:val="99"/>
    <w:semiHidden/>
    <w:rsid w:val="00AC38D5"/>
    <w:rPr>
      <w:b/>
      <w:bCs/>
      <w:sz w:val="20"/>
      <w:szCs w:val="20"/>
    </w:rPr>
  </w:style>
  <w:style w:type="paragraph" w:styleId="Testofumetto">
    <w:name w:val="Balloon Text"/>
    <w:basedOn w:val="Normale"/>
    <w:link w:val="TestofumettoCarattere"/>
    <w:uiPriority w:val="99"/>
    <w:semiHidden/>
    <w:unhideWhenUsed/>
    <w:rsid w:val="00AC38D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38D5"/>
    <w:rPr>
      <w:rFonts w:ascii="Tahoma" w:hAnsi="Tahoma" w:cs="Tahoma"/>
      <w:sz w:val="16"/>
      <w:szCs w:val="16"/>
    </w:rPr>
  </w:style>
  <w:style w:type="paragraph" w:styleId="Paragrafoelenco">
    <w:name w:val="List Paragraph"/>
    <w:basedOn w:val="Normale"/>
    <w:uiPriority w:val="34"/>
    <w:qFormat/>
    <w:rsid w:val="00AC38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7083F"/>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unhideWhenUsed/>
    <w:rsid w:val="0087083F"/>
    <w:pPr>
      <w:spacing w:after="0" w:line="240" w:lineRule="auto"/>
    </w:pPr>
    <w:rPr>
      <w:rFonts w:ascii="Times New Roman" w:eastAsia="Times New Roman" w:hAnsi="Times New Roman" w:cs="Times New Roman"/>
      <w:sz w:val="20"/>
      <w:szCs w:val="20"/>
      <w:lang w:val="en-US"/>
    </w:rPr>
  </w:style>
  <w:style w:type="character" w:customStyle="1" w:styleId="TestonotaapidipaginaCarattere">
    <w:name w:val="Testo nota a piè di pagina Carattere"/>
    <w:basedOn w:val="Carpredefinitoparagrafo"/>
    <w:link w:val="Testonotaapidipagina"/>
    <w:semiHidden/>
    <w:rsid w:val="0087083F"/>
    <w:rPr>
      <w:rFonts w:ascii="Times New Roman" w:eastAsia="Times New Roman" w:hAnsi="Times New Roman" w:cs="Times New Roman"/>
      <w:sz w:val="20"/>
      <w:szCs w:val="20"/>
      <w:lang w:val="en-US"/>
    </w:rPr>
  </w:style>
  <w:style w:type="paragraph" w:customStyle="1" w:styleId="Predefinito">
    <w:name w:val="Predefinito"/>
    <w:rsid w:val="0087083F"/>
    <w:pPr>
      <w:widowControl w:val="0"/>
      <w:autoSpaceDE w:val="0"/>
      <w:autoSpaceDN w:val="0"/>
      <w:adjustRightInd w:val="0"/>
      <w:spacing w:after="0" w:line="240" w:lineRule="auto"/>
    </w:pPr>
    <w:rPr>
      <w:rFonts w:ascii="Times New Roman" w:eastAsia="Times New Roman" w:hAnsi="Times New Roman" w:cs="Times New Roman"/>
      <w:kern w:val="2"/>
      <w:sz w:val="24"/>
      <w:szCs w:val="24"/>
      <w:lang w:val="en-US"/>
    </w:rPr>
  </w:style>
  <w:style w:type="character" w:styleId="Rimandonotaapidipagina">
    <w:name w:val="footnote reference"/>
    <w:uiPriority w:val="99"/>
    <w:semiHidden/>
    <w:unhideWhenUsed/>
    <w:rsid w:val="0087083F"/>
    <w:rPr>
      <w:vertAlign w:val="superscript"/>
    </w:rPr>
  </w:style>
  <w:style w:type="character" w:styleId="Rimandocommento">
    <w:name w:val="annotation reference"/>
    <w:basedOn w:val="Carpredefinitoparagrafo"/>
    <w:uiPriority w:val="99"/>
    <w:semiHidden/>
    <w:unhideWhenUsed/>
    <w:rsid w:val="00AC38D5"/>
    <w:rPr>
      <w:sz w:val="16"/>
      <w:szCs w:val="16"/>
    </w:rPr>
  </w:style>
  <w:style w:type="paragraph" w:styleId="Testocommento">
    <w:name w:val="annotation text"/>
    <w:basedOn w:val="Normale"/>
    <w:link w:val="TestocommentoCarattere"/>
    <w:uiPriority w:val="99"/>
    <w:semiHidden/>
    <w:unhideWhenUsed/>
    <w:rsid w:val="00AC38D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C38D5"/>
    <w:rPr>
      <w:sz w:val="20"/>
      <w:szCs w:val="20"/>
    </w:rPr>
  </w:style>
  <w:style w:type="paragraph" w:styleId="Soggettocommento">
    <w:name w:val="annotation subject"/>
    <w:basedOn w:val="Testocommento"/>
    <w:next w:val="Testocommento"/>
    <w:link w:val="SoggettocommentoCarattere"/>
    <w:uiPriority w:val="99"/>
    <w:semiHidden/>
    <w:unhideWhenUsed/>
    <w:rsid w:val="00AC38D5"/>
    <w:rPr>
      <w:b/>
      <w:bCs/>
    </w:rPr>
  </w:style>
  <w:style w:type="character" w:customStyle="1" w:styleId="SoggettocommentoCarattere">
    <w:name w:val="Soggetto commento Carattere"/>
    <w:basedOn w:val="TestocommentoCarattere"/>
    <w:link w:val="Soggettocommento"/>
    <w:uiPriority w:val="99"/>
    <w:semiHidden/>
    <w:rsid w:val="00AC38D5"/>
    <w:rPr>
      <w:b/>
      <w:bCs/>
      <w:sz w:val="20"/>
      <w:szCs w:val="20"/>
    </w:rPr>
  </w:style>
  <w:style w:type="paragraph" w:styleId="Testofumetto">
    <w:name w:val="Balloon Text"/>
    <w:basedOn w:val="Normale"/>
    <w:link w:val="TestofumettoCarattere"/>
    <w:uiPriority w:val="99"/>
    <w:semiHidden/>
    <w:unhideWhenUsed/>
    <w:rsid w:val="00AC38D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38D5"/>
    <w:rPr>
      <w:rFonts w:ascii="Tahoma" w:hAnsi="Tahoma" w:cs="Tahoma"/>
      <w:sz w:val="16"/>
      <w:szCs w:val="16"/>
    </w:rPr>
  </w:style>
  <w:style w:type="paragraph" w:styleId="Paragrafoelenco">
    <w:name w:val="List Paragraph"/>
    <w:basedOn w:val="Normale"/>
    <w:uiPriority w:val="34"/>
    <w:qFormat/>
    <w:rsid w:val="00AC38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74364">
      <w:bodyDiv w:val="1"/>
      <w:marLeft w:val="0"/>
      <w:marRight w:val="0"/>
      <w:marTop w:val="0"/>
      <w:marBottom w:val="0"/>
      <w:divBdr>
        <w:top w:val="none" w:sz="0" w:space="0" w:color="auto"/>
        <w:left w:val="none" w:sz="0" w:space="0" w:color="auto"/>
        <w:bottom w:val="none" w:sz="0" w:space="0" w:color="auto"/>
        <w:right w:val="none" w:sz="0" w:space="0" w:color="auto"/>
      </w:divBdr>
    </w:div>
    <w:div w:id="1986661332">
      <w:bodyDiv w:val="1"/>
      <w:marLeft w:val="0"/>
      <w:marRight w:val="0"/>
      <w:marTop w:val="0"/>
      <w:marBottom w:val="0"/>
      <w:divBdr>
        <w:top w:val="none" w:sz="0" w:space="0" w:color="auto"/>
        <w:left w:val="none" w:sz="0" w:space="0" w:color="auto"/>
        <w:bottom w:val="none" w:sz="0" w:space="0" w:color="auto"/>
        <w:right w:val="none" w:sz="0" w:space="0" w:color="auto"/>
      </w:divBdr>
      <w:divsChild>
        <w:div w:id="1645239959">
          <w:marLeft w:val="0"/>
          <w:marRight w:val="0"/>
          <w:marTop w:val="0"/>
          <w:marBottom w:val="0"/>
          <w:divBdr>
            <w:top w:val="none" w:sz="0" w:space="0" w:color="auto"/>
            <w:left w:val="none" w:sz="0" w:space="0" w:color="auto"/>
            <w:bottom w:val="none" w:sz="0" w:space="0" w:color="auto"/>
            <w:right w:val="none" w:sz="0" w:space="0" w:color="auto"/>
          </w:divBdr>
          <w:divsChild>
            <w:div w:id="1788624970">
              <w:marLeft w:val="0"/>
              <w:marRight w:val="0"/>
              <w:marTop w:val="0"/>
              <w:marBottom w:val="0"/>
              <w:divBdr>
                <w:top w:val="none" w:sz="0" w:space="0" w:color="auto"/>
                <w:left w:val="none" w:sz="0" w:space="0" w:color="auto"/>
                <w:bottom w:val="none" w:sz="0" w:space="0" w:color="auto"/>
                <w:right w:val="none" w:sz="0" w:space="0" w:color="auto"/>
              </w:divBdr>
              <w:divsChild>
                <w:div w:id="206983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502A9-1F6D-435C-992F-41E3B7CBE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2914</Words>
  <Characters>16614</Characters>
  <Application>Microsoft Office Word</Application>
  <DocSecurity>0</DocSecurity>
  <Lines>138</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Barbara</cp:lastModifiedBy>
  <cp:revision>2</cp:revision>
  <dcterms:created xsi:type="dcterms:W3CDTF">2015-01-24T00:02:00Z</dcterms:created>
  <dcterms:modified xsi:type="dcterms:W3CDTF">2015-01-24T00:02:00Z</dcterms:modified>
</cp:coreProperties>
</file>